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dbe5f1" w:val="clear"/>
        <w:spacing w:after="360" w:before="240" w:lineRule="auto"/>
        <w:jc w:val="center"/>
        <w:rPr>
          <w:rFonts w:ascii="Calibri" w:cs="Calibri" w:eastAsia="Calibri" w:hAnsi="Calibri"/>
          <w:b w:val="1"/>
          <w:bCs w:val="1"/>
        </w:rPr>
      </w:pPr>
      <w:bookmarkStart w:colFirst="0" w:colLast="0" w:name="_heading=h.drllyk1n4as2" w:id="0"/>
      <w:bookmarkEnd w:id="0"/>
      <w:r w:rsidDel="00000000" w:rsidR="00000000" w:rsidRPr="00000000">
        <w:rPr>
          <w:rFonts w:ascii="Calibri" w:cs="Calibri" w:eastAsia="Calibri" w:hAnsi="Calibri"/>
          <w:b w:val="1"/>
          <w:bCs w:val="1"/>
          <w:color w:val="000000"/>
          <w:rtl w:val="0"/>
        </w:rPr>
        <w:t xml:space="preserve">ANEXO VI - MODELO DE TERMO DE CREDENCIAMENTO</w:t>
      </w:r>
      <w:r w:rsidDel="00000000" w:rsidR="00000000" w:rsidRPr="00000000">
        <w:rPr>
          <w:rtl w:val="0"/>
        </w:rPr>
      </w:r>
    </w:p>
    <w:p w:rsidR="00000000" w:rsidDel="00000000" w:rsidP="00000000" w:rsidRDefault="00000000" w:rsidRPr="00000000" w14:paraId="00000002">
      <w:pPr>
        <w:jc w:val="righ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PROCESSO ADMINISTRATIVO Nº </w:t>
      </w:r>
      <w:r w:rsidDel="00000000" w:rsidR="00000000" w:rsidRPr="00000000">
        <w:rPr>
          <w:rFonts w:ascii="Calibri" w:cs="Calibri" w:eastAsia="Calibri" w:hAnsi="Calibri"/>
          <w:b w:val="1"/>
          <w:bCs w:val="1"/>
          <w:sz w:val="22"/>
          <w:szCs w:val="22"/>
          <w:rtl w:val="0"/>
        </w:rPr>
        <w:t xml:space="preserve">0155</w:t>
      </w:r>
      <w:r w:rsidDel="00000000" w:rsidR="00000000" w:rsidRPr="00000000">
        <w:rPr>
          <w:rFonts w:ascii="Calibri" w:cs="Calibri" w:eastAsia="Calibri" w:hAnsi="Calibri"/>
          <w:b w:val="1"/>
          <w:bCs w:val="1"/>
          <w:color w:val="000000"/>
          <w:sz w:val="22"/>
          <w:szCs w:val="22"/>
          <w:rtl w:val="0"/>
        </w:rPr>
        <w:t xml:space="preserve">/2026</w:t>
      </w:r>
    </w:p>
    <w:p w:rsidR="00000000" w:rsidDel="00000000" w:rsidP="00000000" w:rsidRDefault="00000000" w:rsidRPr="00000000" w14:paraId="00000003">
      <w:pPr>
        <w:jc w:val="righ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INEXIGIBILIDADE Nº </w:t>
      </w:r>
      <w:r w:rsidDel="00000000" w:rsidR="00000000" w:rsidRPr="00000000">
        <w:rPr>
          <w:rFonts w:ascii="Calibri" w:cs="Calibri" w:eastAsia="Calibri" w:hAnsi="Calibri"/>
          <w:b w:val="1"/>
          <w:bCs w:val="1"/>
          <w:sz w:val="22"/>
          <w:szCs w:val="22"/>
          <w:rtl w:val="0"/>
        </w:rPr>
        <w:t xml:space="preserve">019</w:t>
      </w:r>
      <w:r w:rsidDel="00000000" w:rsidR="00000000" w:rsidRPr="00000000">
        <w:rPr>
          <w:rFonts w:ascii="Calibri" w:cs="Calibri" w:eastAsia="Calibri" w:hAnsi="Calibri"/>
          <w:b w:val="1"/>
          <w:bCs w:val="1"/>
          <w:color w:val="000000"/>
          <w:sz w:val="22"/>
          <w:szCs w:val="22"/>
          <w:rtl w:val="0"/>
        </w:rPr>
        <w:t xml:space="preserve">/2026</w:t>
      </w:r>
    </w:p>
    <w:p w:rsidR="00000000" w:rsidDel="00000000" w:rsidP="00000000" w:rsidRDefault="00000000" w:rsidRPr="00000000" w14:paraId="00000004">
      <w:pPr>
        <w:jc w:val="right"/>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678" w:right="-17"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TERMO DE CREDENCIAMENTO Nº ......../2026, QUE FAZEM ENTRE SI O MUNICÍPIO DE GUARACIABA E A EMPRESA ................................................................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7"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7">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 </w:t>
      </w:r>
      <w:r w:rsidDel="00000000" w:rsidR="00000000" w:rsidRPr="00000000">
        <w:rPr>
          <w:rFonts w:ascii="Calibri" w:cs="Calibri" w:eastAsia="Calibri" w:hAnsi="Calibri"/>
          <w:b w:val="1"/>
          <w:bCs w:val="1"/>
          <w:sz w:val="22"/>
          <w:szCs w:val="22"/>
          <w:rtl w:val="0"/>
        </w:rPr>
        <w:t xml:space="preserve">MUNICÍPIO DE GUARACIABA/MG,</w:t>
      </w:r>
      <w:r w:rsidDel="00000000" w:rsidR="00000000" w:rsidRPr="00000000">
        <w:rPr>
          <w:rFonts w:ascii="Calibri" w:cs="Calibri" w:eastAsia="Calibri" w:hAnsi="Calibri"/>
          <w:sz w:val="22"/>
          <w:szCs w:val="22"/>
          <w:rtl w:val="0"/>
        </w:rPr>
        <w:t xml:space="preserve"> com sede na Rua Direita, nº 92, Centro, Município de Guaraciaba, Estado de Minas Gerais, CEP 35.436-000, inscrito no CNPJ sob o nº 19.382.647/0001-53, através da Secretaria Municipal de Saúde, neste ato, representado pela Secretária Municipal, Sra. Cíntia Gomes Ferreira, a seguir denominada </w:t>
      </w:r>
      <w:r w:rsidDel="00000000" w:rsidR="00000000" w:rsidRPr="00000000">
        <w:rPr>
          <w:rFonts w:ascii="Calibri" w:cs="Calibri" w:eastAsia="Calibri" w:hAnsi="Calibri"/>
          <w:b w:val="1"/>
          <w:bCs w:val="1"/>
          <w:sz w:val="22"/>
          <w:szCs w:val="22"/>
          <w:rtl w:val="0"/>
        </w:rPr>
        <w:t xml:space="preserve">CREDENCIANTE,</w:t>
      </w:r>
      <w:r w:rsidDel="00000000" w:rsidR="00000000" w:rsidRPr="00000000">
        <w:rPr>
          <w:rFonts w:ascii="Calibri" w:cs="Calibri" w:eastAsia="Calibri" w:hAnsi="Calibri"/>
          <w:sz w:val="22"/>
          <w:szCs w:val="22"/>
          <w:rtl w:val="0"/>
        </w:rPr>
        <w:t xml:space="preserve"> e o(a) .............................., </w:t>
      </w:r>
      <w:r w:rsidDel="00000000" w:rsidR="00000000" w:rsidRPr="00000000">
        <w:rPr>
          <w:rFonts w:ascii="Calibri" w:cs="Calibri" w:eastAsia="Calibri" w:hAnsi="Calibri"/>
          <w:i w:val="1"/>
          <w:iCs w:val="1"/>
          <w:sz w:val="22"/>
          <w:szCs w:val="22"/>
          <w:rtl w:val="0"/>
        </w:rPr>
        <w:t xml:space="preserve">inscrito(a) no CNPJ/MF sob o nº ............................, sediado(a) na</w:t>
      </w:r>
      <w:r w:rsidDel="00000000" w:rsidR="00000000" w:rsidRPr="00000000">
        <w:rPr>
          <w:rFonts w:ascii="Calibri" w:cs="Calibri" w:eastAsia="Calibri" w:hAnsi="Calibri"/>
          <w:sz w:val="22"/>
          <w:szCs w:val="22"/>
          <w:rtl w:val="0"/>
        </w:rPr>
        <w:t xml:space="preserve"> ..................................., doravante designado </w:t>
      </w:r>
      <w:r w:rsidDel="00000000" w:rsidR="00000000" w:rsidRPr="00000000">
        <w:rPr>
          <w:rFonts w:ascii="Calibri" w:cs="Calibri" w:eastAsia="Calibri" w:hAnsi="Calibri"/>
          <w:b w:val="1"/>
          <w:bCs w:val="1"/>
          <w:sz w:val="22"/>
          <w:szCs w:val="22"/>
          <w:rtl w:val="0"/>
        </w:rPr>
        <w:t xml:space="preserve">CREDENCIADO, </w:t>
      </w:r>
      <w:r w:rsidDel="00000000" w:rsidR="00000000" w:rsidRPr="00000000">
        <w:rPr>
          <w:rFonts w:ascii="Calibri" w:cs="Calibri" w:eastAsia="Calibri" w:hAnsi="Calibri"/>
          <w:i w:val="1"/>
          <w:iCs w:val="1"/>
          <w:sz w:val="22"/>
          <w:szCs w:val="22"/>
          <w:rtl w:val="0"/>
        </w:rPr>
        <w:t xml:space="preserve">neste ato representado(a) por</w:t>
      </w:r>
      <w:r w:rsidDel="00000000" w:rsidR="00000000" w:rsidRPr="00000000">
        <w:rPr>
          <w:rFonts w:ascii="Calibri" w:cs="Calibri" w:eastAsia="Calibri" w:hAnsi="Calibri"/>
          <w:sz w:val="22"/>
          <w:szCs w:val="22"/>
          <w:rtl w:val="0"/>
        </w:rPr>
        <w:t xml:space="preserve"> .................................. (nome e função), </w:t>
      </w:r>
      <w:r w:rsidDel="00000000" w:rsidR="00000000" w:rsidRPr="00000000">
        <w:rPr>
          <w:rFonts w:ascii="Calibri" w:cs="Calibri" w:eastAsia="Calibri" w:hAnsi="Calibri"/>
          <w:i w:val="1"/>
          <w:iCs w:val="1"/>
          <w:sz w:val="22"/>
          <w:szCs w:val="22"/>
          <w:rtl w:val="0"/>
        </w:rPr>
        <w:t xml:space="preserve">conforme atos constitutivos da empresa </w:t>
      </w:r>
      <w:r w:rsidDel="00000000" w:rsidR="00000000" w:rsidRPr="00000000">
        <w:rPr>
          <w:rFonts w:ascii="Calibri" w:cs="Calibri" w:eastAsia="Calibri" w:hAnsi="Calibri"/>
          <w:b w:val="1"/>
          <w:bCs w:val="1"/>
          <w:i w:val="1"/>
          <w:iCs w:val="1"/>
          <w:sz w:val="22"/>
          <w:szCs w:val="22"/>
          <w:rtl w:val="0"/>
        </w:rPr>
        <w:t xml:space="preserve">OU</w:t>
      </w:r>
      <w:r w:rsidDel="00000000" w:rsidR="00000000" w:rsidRPr="00000000">
        <w:rPr>
          <w:rFonts w:ascii="Calibri" w:cs="Calibri" w:eastAsia="Calibri" w:hAnsi="Calibri"/>
          <w:i w:val="1"/>
          <w:iCs w:val="1"/>
          <w:sz w:val="22"/>
          <w:szCs w:val="22"/>
          <w:rtl w:val="0"/>
        </w:rPr>
        <w:t xml:space="preserve"> procuração apresentada nos autos, </w:t>
      </w:r>
      <w:r w:rsidDel="00000000" w:rsidR="00000000" w:rsidRPr="00000000">
        <w:rPr>
          <w:rFonts w:ascii="Calibri" w:cs="Calibri" w:eastAsia="Calibri" w:hAnsi="Calibri"/>
          <w:sz w:val="22"/>
          <w:szCs w:val="22"/>
          <w:rtl w:val="0"/>
        </w:rPr>
        <w:t xml:space="preserve">tendo em vista o que consta no Processo nº 0115/2026 e em observância às disposições da </w:t>
      </w:r>
      <w:hyperlink r:id="rId7">
        <w:r w:rsidDel="00000000" w:rsidR="00000000" w:rsidRPr="00000000">
          <w:rPr>
            <w:rFonts w:ascii="Calibri" w:cs="Calibri" w:eastAsia="Calibri" w:hAnsi="Calibri"/>
            <w:color w:val="000000"/>
            <w:sz w:val="22"/>
            <w:szCs w:val="22"/>
            <w:u w:val="single"/>
            <w:rtl w:val="0"/>
          </w:rPr>
          <w:t xml:space="preserve">Lei nº 14.133, de 1º de abril de 2021</w:t>
        </w:r>
      </w:hyperlink>
      <w:r w:rsidDel="00000000" w:rsidR="00000000" w:rsidRPr="00000000">
        <w:rPr>
          <w:rFonts w:ascii="Calibri" w:cs="Calibri" w:eastAsia="Calibri" w:hAnsi="Calibri"/>
          <w:sz w:val="22"/>
          <w:szCs w:val="22"/>
          <w:rtl w:val="0"/>
        </w:rPr>
        <w:t xml:space="preserve">, e demais legislação aplicável, resolvem celebrar o presente Termo de Credenciamento, decorrente </w:t>
      </w:r>
      <w:r w:rsidDel="00000000" w:rsidR="00000000" w:rsidRPr="00000000">
        <w:rPr>
          <w:rFonts w:ascii="Calibri" w:cs="Calibri" w:eastAsia="Calibri" w:hAnsi="Calibri"/>
          <w:i w:val="1"/>
          <w:iCs w:val="1"/>
          <w:sz w:val="22"/>
          <w:szCs w:val="22"/>
          <w:rtl w:val="0"/>
        </w:rPr>
        <w:t xml:space="preserve">da Inexigibilidade de Licitação nº 014/2026</w:t>
      </w:r>
      <w:r w:rsidDel="00000000" w:rsidR="00000000" w:rsidRPr="00000000">
        <w:rPr>
          <w:rFonts w:ascii="Calibri" w:cs="Calibri" w:eastAsia="Calibri" w:hAnsi="Calibri"/>
          <w:sz w:val="22"/>
          <w:szCs w:val="22"/>
          <w:rtl w:val="0"/>
        </w:rPr>
        <w:t xml:space="preserve">, mediante as cláusulas e condições a seguir enunciadas.</w:t>
      </w:r>
    </w:p>
    <w:p w:rsidR="00000000" w:rsidDel="00000000" w:rsidP="00000000" w:rsidRDefault="00000000" w:rsidRPr="00000000" w14:paraId="00000008">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9">
      <w:pPr>
        <w:keepNext w:val="1"/>
        <w:keepLines w:val="1"/>
        <w:pageBreakBefore w:val="0"/>
        <w:widowControl w:val="1"/>
        <w:numPr>
          <w:ilvl w:val="0"/>
          <w:numId w:val="3"/>
        </w:numPr>
        <w:pBdr>
          <w:top w:space="0" w:sz="0" w:val="nil"/>
          <w:left w:space="0" w:sz="0" w:val="nil"/>
          <w:bottom w:space="0" w:sz="0" w:val="nil"/>
          <w:right w:space="0" w:sz="0" w:val="nil"/>
          <w:between w:space="0" w:sz="0" w:val="nil"/>
        </w:pBdr>
        <w:shd w:fill="dbe5f1" w:val="clear"/>
        <w:tabs>
          <w:tab w:val="left" w:leader="none" w:pos="567"/>
        </w:tabs>
        <w:spacing w:after="120" w:before="240" w:line="240" w:lineRule="auto"/>
        <w:ind w:left="0" w:right="0" w:firstLine="0"/>
        <w:jc w:val="both"/>
        <w:rPr>
          <w:rFonts w:ascii="Calibri" w:cs="Calibri" w:eastAsia="Calibri" w:hAnsi="Calibri"/>
          <w:b w:val="1"/>
          <w:bCs w:val="1"/>
          <w:i w:val="0"/>
          <w:iCs w:val="0"/>
          <w:smallCaps w:val="0"/>
          <w:strike w:val="0"/>
          <w:color w:val="ffffff"/>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PRIMEIRA – OBJETO</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O objeto do presente instrumento é o credenciamento de empresas especializadas para a </w:t>
      </w:r>
      <w:r w:rsidDel="00000000" w:rsidR="00000000" w:rsidRPr="00000000">
        <w:rPr>
          <w:rFonts w:ascii="Calibri" w:cs="Calibri" w:eastAsia="Calibri" w:hAnsi="Calibri"/>
          <w:b w:val="1"/>
          <w:bCs w:val="1"/>
          <w:sz w:val="22"/>
          <w:szCs w:val="22"/>
          <w:rtl w:val="0"/>
        </w:rPr>
        <w:t xml:space="preserve">prestação de serviços médicos em regime de plantão, mediante disponibilização de profissionais médicos habilitados, visando ao atendimento das demandas da Secretaria Municipal de Saúde do Município de Guaraciaba/MG</w:t>
      </w:r>
      <w:r w:rsidDel="00000000" w:rsidR="00000000" w:rsidRPr="00000000">
        <w:rPr>
          <w:rFonts w:ascii="Calibri" w:cs="Calibri" w:eastAsia="Calibri" w:hAnsi="Calibri"/>
          <w:sz w:val="22"/>
          <w:szCs w:val="22"/>
          <w:rtl w:val="0"/>
        </w:rPr>
        <w:t xml:space="preserve">, especialmente durante a realização de eventos promovidos ou apoiados pela Administração Municipal, assegurando assistência médica imediata, adequada e contínua à população, nas quantidades, especificações e valores estabelecidos neste Termo de Referência.</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Especificação do objeto:</w:t>
      </w:r>
    </w:p>
    <w:tbl>
      <w:tblPr>
        <w:tblStyle w:val="Table1"/>
        <w:tblW w:w="9344.0" w:type="dxa"/>
        <w:jc w:val="left"/>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656"/>
        <w:gridCol w:w="2372"/>
        <w:gridCol w:w="1446"/>
        <w:gridCol w:w="1446"/>
        <w:gridCol w:w="1712"/>
        <w:gridCol w:w="1712"/>
        <w:tblGridChange w:id="0">
          <w:tblGrid>
            <w:gridCol w:w="656"/>
            <w:gridCol w:w="2372"/>
            <w:gridCol w:w="1446"/>
            <w:gridCol w:w="1446"/>
            <w:gridCol w:w="1712"/>
            <w:gridCol w:w="1712"/>
          </w:tblGrid>
        </w:tblGridChange>
      </w:tblGrid>
      <w:tr>
        <w:trPr>
          <w:cantSplit w:val="0"/>
          <w:trHeight w:val="810" w:hRule="atLeast"/>
          <w:tblHeader w:val="0"/>
        </w:trPr>
        <w:tc>
          <w:tcPr>
            <w:vAlign w:val="center"/>
          </w:tcPr>
          <w:p w:rsidR="00000000" w:rsidDel="00000000" w:rsidP="00000000" w:rsidRDefault="00000000" w:rsidRPr="00000000" w14:paraId="0000000C">
            <w:pPr>
              <w:widowControl w:val="0"/>
              <w:jc w:val="center"/>
              <w:rPr>
                <w:rFonts w:ascii="Calibri" w:cs="Calibri" w:eastAsia="Calibri" w:hAnsi="Calibri"/>
                <w:b w:val="1"/>
                <w:bCs w:val="1"/>
                <w:color w:val="000000"/>
                <w:sz w:val="20"/>
                <w:szCs w:val="20"/>
              </w:rPr>
            </w:pPr>
            <w:r w:rsidDel="00000000" w:rsidR="00000000" w:rsidRPr="00000000">
              <w:rPr>
                <w:rtl w:val="0"/>
              </w:rPr>
            </w:r>
          </w:p>
          <w:p w:rsidR="00000000" w:rsidDel="00000000" w:rsidP="00000000" w:rsidRDefault="00000000" w:rsidRPr="00000000" w14:paraId="0000000D">
            <w:pPr>
              <w:widowControl w:val="0"/>
              <w:jc w:val="center"/>
              <w:rPr>
                <w:rFonts w:ascii="Calibri" w:cs="Calibri" w:eastAsia="Calibri" w:hAnsi="Calibri"/>
                <w:b w:val="1"/>
                <w:bCs w:val="1"/>
                <w:color w:val="000000"/>
                <w:sz w:val="20"/>
                <w:szCs w:val="20"/>
              </w:rPr>
            </w:pPr>
            <w:r w:rsidDel="00000000" w:rsidR="00000000" w:rsidRPr="00000000">
              <w:rPr>
                <w:rFonts w:ascii="Calibri" w:cs="Calibri" w:eastAsia="Calibri" w:hAnsi="Calibri"/>
                <w:b w:val="1"/>
                <w:bCs w:val="1"/>
                <w:color w:val="000000"/>
                <w:sz w:val="20"/>
                <w:szCs w:val="20"/>
                <w:rtl w:val="0"/>
              </w:rPr>
              <w:t xml:space="preserve">ITEM</w:t>
            </w:r>
          </w:p>
          <w:p w:rsidR="00000000" w:rsidDel="00000000" w:rsidP="00000000" w:rsidRDefault="00000000" w:rsidRPr="00000000" w14:paraId="0000000E">
            <w:pPr>
              <w:widowControl w:val="0"/>
              <w:jc w:val="center"/>
              <w:rPr>
                <w:rFonts w:ascii="Calibri" w:cs="Calibri" w:eastAsia="Calibri" w:hAnsi="Calibri"/>
                <w:b w:val="1"/>
                <w:bCs w:val="1"/>
                <w:color w:val="000000"/>
                <w:sz w:val="20"/>
                <w:szCs w:val="20"/>
              </w:rPr>
            </w:pPr>
            <w:r w:rsidDel="00000000" w:rsidR="00000000" w:rsidRPr="00000000">
              <w:rPr>
                <w:rtl w:val="0"/>
              </w:rPr>
            </w:r>
          </w:p>
        </w:tc>
        <w:tc>
          <w:tcPr>
            <w:vAlign w:val="center"/>
          </w:tcPr>
          <w:p w:rsidR="00000000" w:rsidDel="00000000" w:rsidP="00000000" w:rsidRDefault="00000000" w:rsidRPr="00000000" w14:paraId="0000000F">
            <w:pPr>
              <w:widowControl w:val="0"/>
              <w:jc w:val="center"/>
              <w:rPr>
                <w:rFonts w:ascii="Calibri" w:cs="Calibri" w:eastAsia="Calibri" w:hAnsi="Calibri"/>
                <w:color w:val="000000"/>
                <w:sz w:val="20"/>
                <w:szCs w:val="20"/>
              </w:rPr>
            </w:pPr>
            <w:r w:rsidDel="00000000" w:rsidR="00000000" w:rsidRPr="00000000">
              <w:rPr>
                <w:rFonts w:ascii="Calibri" w:cs="Calibri" w:eastAsia="Calibri" w:hAnsi="Calibri"/>
                <w:b w:val="1"/>
                <w:bCs w:val="1"/>
                <w:color w:val="000000"/>
                <w:sz w:val="20"/>
                <w:szCs w:val="20"/>
                <w:rtl w:val="0"/>
              </w:rPr>
              <w:t xml:space="preserve">ESPECIFICAÇÃO</w:t>
            </w:r>
            <w:r w:rsidDel="00000000" w:rsidR="00000000" w:rsidRPr="00000000">
              <w:rPr>
                <w:rtl w:val="0"/>
              </w:rPr>
            </w:r>
          </w:p>
        </w:tc>
        <w:tc>
          <w:tcPr>
            <w:vAlign w:val="center"/>
          </w:tcPr>
          <w:p w:rsidR="00000000" w:rsidDel="00000000" w:rsidP="00000000" w:rsidRDefault="00000000" w:rsidRPr="00000000" w14:paraId="00000010">
            <w:pPr>
              <w:widowControl w:val="0"/>
              <w:jc w:val="center"/>
              <w:rPr>
                <w:rFonts w:ascii="Calibri" w:cs="Calibri" w:eastAsia="Calibri" w:hAnsi="Calibri"/>
                <w:color w:val="000000"/>
                <w:sz w:val="20"/>
                <w:szCs w:val="20"/>
              </w:rPr>
            </w:pPr>
            <w:r w:rsidDel="00000000" w:rsidR="00000000" w:rsidRPr="00000000">
              <w:rPr>
                <w:rFonts w:ascii="Calibri" w:cs="Calibri" w:eastAsia="Calibri" w:hAnsi="Calibri"/>
                <w:b w:val="1"/>
                <w:bCs w:val="1"/>
                <w:color w:val="000000"/>
                <w:sz w:val="20"/>
                <w:szCs w:val="20"/>
                <w:rtl w:val="0"/>
              </w:rPr>
              <w:t xml:space="preserve">UNIDADE</w:t>
            </w:r>
            <w:r w:rsidDel="00000000" w:rsidR="00000000" w:rsidRPr="00000000">
              <w:rPr>
                <w:rtl w:val="0"/>
              </w:rPr>
            </w:r>
          </w:p>
        </w:tc>
        <w:tc>
          <w:tcPr>
            <w:vAlign w:val="center"/>
          </w:tcPr>
          <w:p w:rsidR="00000000" w:rsidDel="00000000" w:rsidP="00000000" w:rsidRDefault="00000000" w:rsidRPr="00000000" w14:paraId="00000011">
            <w:pPr>
              <w:widowControl w:val="0"/>
              <w:jc w:val="center"/>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QUANTIDADE</w:t>
            </w:r>
          </w:p>
        </w:tc>
        <w:tc>
          <w:tcPr>
            <w:vAlign w:val="center"/>
          </w:tcPr>
          <w:p w:rsidR="00000000" w:rsidDel="00000000" w:rsidP="00000000" w:rsidRDefault="00000000" w:rsidRPr="00000000" w14:paraId="00000012">
            <w:pPr>
              <w:widowControl w:val="0"/>
              <w:jc w:val="center"/>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VALOR UNITÁRIO</w:t>
            </w:r>
          </w:p>
        </w:tc>
        <w:tc>
          <w:tcPr>
            <w:vAlign w:val="center"/>
          </w:tcPr>
          <w:p w:rsidR="00000000" w:rsidDel="00000000" w:rsidP="00000000" w:rsidRDefault="00000000" w:rsidRPr="00000000" w14:paraId="00000013">
            <w:pPr>
              <w:widowControl w:val="0"/>
              <w:jc w:val="center"/>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VALOR TOTAL</w:t>
            </w:r>
          </w:p>
        </w:tc>
      </w:tr>
      <w:tr>
        <w:trPr>
          <w:cantSplit w:val="0"/>
          <w:trHeight w:val="383" w:hRule="atLeast"/>
          <w:tblHeader w:val="0"/>
        </w:trPr>
        <w:tc>
          <w:tcPr>
            <w:vAlign w:val="center"/>
          </w:tcPr>
          <w:p w:rsidR="00000000" w:rsidDel="00000000" w:rsidP="00000000" w:rsidRDefault="00000000" w:rsidRPr="00000000" w14:paraId="00000014">
            <w:pPr>
              <w:widowControl w:val="0"/>
              <w:spacing w:line="276" w:lineRule="auto"/>
              <w:jc w:val="center"/>
              <w:rPr>
                <w:rFonts w:ascii="Calibri" w:cs="Calibri" w:eastAsia="Calibri" w:hAnsi="Calibri"/>
                <w:b w:val="1"/>
                <w:bCs w:val="1"/>
                <w:color w:val="000000"/>
                <w:sz w:val="20"/>
                <w:szCs w:val="20"/>
              </w:rPr>
            </w:pPr>
            <w:r w:rsidDel="00000000" w:rsidR="00000000" w:rsidRPr="00000000">
              <w:rPr>
                <w:rFonts w:ascii="Calibri" w:cs="Calibri" w:eastAsia="Calibri" w:hAnsi="Calibri"/>
                <w:b w:val="1"/>
                <w:bCs w:val="1"/>
                <w:color w:val="000000"/>
                <w:sz w:val="20"/>
                <w:szCs w:val="20"/>
                <w:rtl w:val="0"/>
              </w:rPr>
              <w:t xml:space="preserve">1</w:t>
            </w:r>
          </w:p>
        </w:tc>
        <w:tc>
          <w:tcPr>
            <w:vAlign w:val="center"/>
          </w:tcPr>
          <w:p w:rsidR="00000000" w:rsidDel="00000000" w:rsidP="00000000" w:rsidRDefault="00000000" w:rsidRPr="00000000" w14:paraId="00000015">
            <w:pPr>
              <w:widowControl w:val="0"/>
              <w:spacing w:line="276" w:lineRule="auto"/>
              <w:jc w:val="center"/>
              <w:rPr>
                <w:rFonts w:ascii="Calibri" w:cs="Calibri" w:eastAsia="Calibri" w:hAnsi="Calibri"/>
                <w:color w:val="000000"/>
                <w:sz w:val="20"/>
                <w:szCs w:val="20"/>
              </w:rPr>
            </w:pPr>
            <w:r w:rsidDel="00000000" w:rsidR="00000000" w:rsidRPr="00000000">
              <w:rPr>
                <w:rtl w:val="0"/>
              </w:rPr>
            </w:r>
          </w:p>
        </w:tc>
        <w:tc>
          <w:tcPr>
            <w:vAlign w:val="center"/>
          </w:tcPr>
          <w:p w:rsidR="00000000" w:rsidDel="00000000" w:rsidP="00000000" w:rsidRDefault="00000000" w:rsidRPr="00000000" w14:paraId="00000016">
            <w:pPr>
              <w:widowControl w:val="0"/>
              <w:spacing w:line="276" w:lineRule="auto"/>
              <w:jc w:val="center"/>
              <w:rPr>
                <w:rFonts w:ascii="Calibri" w:cs="Calibri" w:eastAsia="Calibri" w:hAnsi="Calibri"/>
                <w:color w:val="000000"/>
                <w:sz w:val="20"/>
                <w:szCs w:val="20"/>
              </w:rPr>
            </w:pPr>
            <w:r w:rsidDel="00000000" w:rsidR="00000000" w:rsidRPr="00000000">
              <w:rPr>
                <w:rtl w:val="0"/>
              </w:rPr>
            </w:r>
          </w:p>
        </w:tc>
        <w:tc>
          <w:tcPr>
            <w:vAlign w:val="center"/>
          </w:tcPr>
          <w:p w:rsidR="00000000" w:rsidDel="00000000" w:rsidP="00000000" w:rsidRDefault="00000000" w:rsidRPr="00000000" w14:paraId="00000017">
            <w:pPr>
              <w:widowControl w:val="0"/>
              <w:spacing w:line="276" w:lineRule="auto"/>
              <w:jc w:val="center"/>
              <w:rPr>
                <w:rFonts w:ascii="Calibri" w:cs="Calibri" w:eastAsia="Calibri" w:hAnsi="Calibri"/>
                <w:color w:val="000000"/>
                <w:sz w:val="20"/>
                <w:szCs w:val="20"/>
              </w:rPr>
            </w:pPr>
            <w:r w:rsidDel="00000000" w:rsidR="00000000" w:rsidRPr="00000000">
              <w:rPr>
                <w:rtl w:val="0"/>
              </w:rPr>
            </w:r>
          </w:p>
        </w:tc>
        <w:tc>
          <w:tcPr>
            <w:vAlign w:val="center"/>
          </w:tcPr>
          <w:p w:rsidR="00000000" w:rsidDel="00000000" w:rsidP="00000000" w:rsidRDefault="00000000" w:rsidRPr="00000000" w14:paraId="00000018">
            <w:pPr>
              <w:widowControl w:val="0"/>
              <w:spacing w:line="276" w:lineRule="auto"/>
              <w:jc w:val="center"/>
              <w:rPr>
                <w:rFonts w:ascii="Calibri" w:cs="Calibri" w:eastAsia="Calibri" w:hAnsi="Calibri"/>
                <w:color w:val="000000"/>
                <w:sz w:val="20"/>
                <w:szCs w:val="20"/>
              </w:rPr>
            </w:pPr>
            <w:r w:rsidDel="00000000" w:rsidR="00000000" w:rsidRPr="00000000">
              <w:rPr>
                <w:rtl w:val="0"/>
              </w:rPr>
            </w:r>
          </w:p>
        </w:tc>
        <w:tc>
          <w:tcPr>
            <w:vAlign w:val="center"/>
          </w:tcPr>
          <w:p w:rsidR="00000000" w:rsidDel="00000000" w:rsidP="00000000" w:rsidRDefault="00000000" w:rsidRPr="00000000" w14:paraId="00000019">
            <w:pPr>
              <w:widowControl w:val="0"/>
              <w:spacing w:line="276" w:lineRule="auto"/>
              <w:jc w:val="center"/>
              <w:rPr>
                <w:rFonts w:ascii="Calibri" w:cs="Calibri" w:eastAsia="Calibri" w:hAnsi="Calibri"/>
                <w:color w:val="000000"/>
                <w:sz w:val="20"/>
                <w:szCs w:val="20"/>
              </w:rPr>
            </w:pPr>
            <w:r w:rsidDel="00000000" w:rsidR="00000000" w:rsidRPr="00000000">
              <w:rPr>
                <w:rtl w:val="0"/>
              </w:rPr>
            </w:r>
          </w:p>
        </w:tc>
      </w:tr>
    </w:tbl>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Vinculam esta contratação, independentemente de transcrição:</w:t>
      </w:r>
    </w:p>
    <w:p w:rsidR="00000000" w:rsidDel="00000000" w:rsidP="00000000" w:rsidRDefault="00000000" w:rsidRPr="00000000" w14:paraId="0000001C">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Termo de Referência;</w:t>
      </w:r>
    </w:p>
    <w:p w:rsidR="00000000" w:rsidDel="00000000" w:rsidP="00000000" w:rsidRDefault="00000000" w:rsidRPr="00000000" w14:paraId="0000001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Edital de Credenciamento;</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Eventuais anexos dos documentos supracitados.</w:t>
      </w:r>
    </w:p>
    <w:p w:rsidR="00000000" w:rsidDel="00000000" w:rsidP="00000000" w:rsidRDefault="00000000" w:rsidRPr="00000000" w14:paraId="0000001F">
      <w:pPr>
        <w:keepNext w:val="1"/>
        <w:keepLines w:val="1"/>
        <w:pageBreakBefore w:val="0"/>
        <w:widowControl w:val="1"/>
        <w:numPr>
          <w:ilvl w:val="0"/>
          <w:numId w:val="5"/>
        </w:numPr>
        <w:pBdr>
          <w:top w:space="0" w:sz="0" w:val="nil"/>
          <w:left w:space="0" w:sz="0" w:val="nil"/>
          <w:bottom w:space="0" w:sz="0" w:val="nil"/>
          <w:right w:space="0" w:sz="0" w:val="nil"/>
          <w:between w:space="0" w:sz="0" w:val="nil"/>
        </w:pBdr>
        <w:shd w:fill="dbe5f1" w:val="clear"/>
        <w:tabs>
          <w:tab w:val="left" w:leader="none" w:pos="567"/>
        </w:tabs>
        <w:spacing w:after="120" w:before="240" w:line="240" w:lineRule="auto"/>
        <w:ind w:left="0" w:right="0" w:firstLine="0"/>
        <w:jc w:val="both"/>
        <w:rPr>
          <w:rFonts w:ascii="Calibri" w:cs="Calibri" w:eastAsia="Calibri" w:hAnsi="Calibri"/>
          <w:b w:val="1"/>
          <w:bCs w:val="1"/>
          <w:i w:val="0"/>
          <w:iCs w:val="0"/>
          <w:smallCaps w:val="0"/>
          <w:strike w:val="0"/>
          <w:color w:val="ffffff"/>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SEGUNDA – VIGÊNCIA E PRORROGAÇÃO</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prazo de vigência é de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12 (doze) meses</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contados da assinatura do contrato, prorrogável por até 10 anos, na forma dos </w:t>
      </w:r>
      <w:hyperlink r:id="rId8">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artigos 106 e 107 da Lei n° 14.133, de 2021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2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 prorrogação de que trata este item é condicionada ao ateste, pela autoridade competente, de que as condições e os preços permanecem vantajosos para a Administração, permitida a negociação com o credenciado.</w:t>
      </w:r>
    </w:p>
    <w:p w:rsidR="00000000" w:rsidDel="00000000" w:rsidP="00000000" w:rsidRDefault="00000000" w:rsidRPr="00000000" w14:paraId="00000022">
      <w:pPr>
        <w:keepNext w:val="1"/>
        <w:keepLines w:val="1"/>
        <w:pageBreakBefore w:val="0"/>
        <w:widowControl w:val="1"/>
        <w:numPr>
          <w:ilvl w:val="0"/>
          <w:numId w:val="5"/>
        </w:numPr>
        <w:pBdr>
          <w:top w:space="0" w:sz="0" w:val="nil"/>
          <w:left w:space="0" w:sz="0" w:val="nil"/>
          <w:bottom w:space="0" w:sz="0" w:val="nil"/>
          <w:right w:space="0" w:sz="0" w:val="nil"/>
          <w:between w:space="0" w:sz="0" w:val="nil"/>
        </w:pBdr>
        <w:shd w:fill="dbe5f1" w:val="clear"/>
        <w:tabs>
          <w:tab w:val="left" w:leader="none" w:pos="567"/>
        </w:tabs>
        <w:spacing w:after="120" w:before="240" w:line="240" w:lineRule="auto"/>
        <w:ind w:left="0" w:right="0" w:firstLine="0"/>
        <w:jc w:val="both"/>
        <w:rPr>
          <w:rFonts w:ascii="Calibri" w:cs="Calibri" w:eastAsia="Calibri" w:hAnsi="Calibri"/>
          <w:b w:val="1"/>
          <w:bCs w:val="1"/>
          <w:i w:val="0"/>
          <w:iCs w:val="0"/>
          <w:smallCaps w:val="0"/>
          <w:strike w:val="0"/>
          <w:color w:val="ffffff"/>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TERCEIRA – MODELOS DE EXECUÇÃO E GESTÃO CONTRATUAIS</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regime de execução contratual, os modelos de gestão e de execução, assim como os prazos e condições de conclusão, entrega, observação e recebimento do objeto constam no Termo de Referência, anexo a este termo.</w:t>
      </w:r>
    </w:p>
    <w:p w:rsidR="00000000" w:rsidDel="00000000" w:rsidP="00000000" w:rsidRDefault="00000000" w:rsidRPr="00000000" w14:paraId="00000024">
      <w:pPr>
        <w:keepNext w:val="1"/>
        <w:keepLines w:val="1"/>
        <w:pageBreakBefore w:val="0"/>
        <w:widowControl w:val="1"/>
        <w:numPr>
          <w:ilvl w:val="0"/>
          <w:numId w:val="5"/>
        </w:numPr>
        <w:pBdr>
          <w:top w:space="0" w:sz="0" w:val="nil"/>
          <w:left w:space="0" w:sz="0" w:val="nil"/>
          <w:bottom w:space="0" w:sz="0" w:val="nil"/>
          <w:right w:space="0" w:sz="0" w:val="nil"/>
          <w:between w:space="0" w:sz="0" w:val="nil"/>
        </w:pBdr>
        <w:shd w:fill="dbe5f1" w:val="clear"/>
        <w:tabs>
          <w:tab w:val="left" w:leader="none" w:pos="567"/>
        </w:tabs>
        <w:spacing w:after="120" w:before="240" w:line="240" w:lineRule="auto"/>
        <w:ind w:left="0" w:right="0" w:firstLine="0"/>
        <w:jc w:val="both"/>
        <w:rPr>
          <w:rFonts w:ascii="Calibri" w:cs="Calibri" w:eastAsia="Calibri" w:hAnsi="Calibri"/>
          <w:b w:val="1"/>
          <w:bCs w:val="1"/>
          <w:i w:val="0"/>
          <w:iCs w:val="0"/>
          <w:smallCaps w:val="0"/>
          <w:strike w:val="0"/>
          <w:color w:val="ffffff"/>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QUARTA – SUBCONTRATAÇÃO</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Não será admitida a subcontratação do objeto contratual.</w:t>
      </w:r>
    </w:p>
    <w:p w:rsidR="00000000" w:rsidDel="00000000" w:rsidP="00000000" w:rsidRDefault="00000000" w:rsidRPr="00000000" w14:paraId="00000026">
      <w:pPr>
        <w:keepNext w:val="1"/>
        <w:keepLines w:val="1"/>
        <w:pageBreakBefore w:val="0"/>
        <w:widowControl w:val="1"/>
        <w:numPr>
          <w:ilvl w:val="0"/>
          <w:numId w:val="5"/>
        </w:numPr>
        <w:pBdr>
          <w:top w:space="0" w:sz="0" w:val="nil"/>
          <w:left w:space="0" w:sz="0" w:val="nil"/>
          <w:bottom w:space="0" w:sz="0" w:val="nil"/>
          <w:right w:space="0" w:sz="0" w:val="nil"/>
          <w:between w:space="0" w:sz="0" w:val="nil"/>
        </w:pBdr>
        <w:shd w:fill="dbe5f1" w:val="clear"/>
        <w:tabs>
          <w:tab w:val="left" w:leader="none" w:pos="567"/>
        </w:tabs>
        <w:spacing w:after="120" w:before="240" w:line="240" w:lineRule="auto"/>
        <w:ind w:left="0" w:right="0" w:firstLine="0"/>
        <w:jc w:val="both"/>
        <w:rPr>
          <w:rFonts w:ascii="Calibri" w:cs="Calibri" w:eastAsia="Calibri" w:hAnsi="Calibri"/>
          <w:b w:val="1"/>
          <w:bCs w:val="1"/>
          <w:i w:val="0"/>
          <w:iCs w:val="0"/>
          <w:smallCaps w:val="0"/>
          <w:strike w:val="0"/>
          <w:color w:val="ffffff"/>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QUINTA – PREÇO</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A prestação dos serviços médicos em regime de plantão, a serem executados pelas credenciadas, bem como os respectivos valores a serem pagos, serão aqueles previamente estabelecidos no Termo de Referência, devendo observar as condições, critérios e especificações ali definidos, não sendo admitida a cobrança de valores diversos ou adicionais pela execução dos serviços.</w:t>
      </w:r>
      <w:r w:rsidDel="00000000" w:rsidR="00000000" w:rsidRPr="00000000">
        <w:rPr>
          <w:rtl w:val="0"/>
        </w:rPr>
      </w:r>
    </w:p>
    <w:p w:rsidR="00000000" w:rsidDel="00000000" w:rsidP="00000000" w:rsidRDefault="00000000" w:rsidRPr="00000000" w14:paraId="00000028">
      <w:pPr>
        <w:keepNext w:val="1"/>
        <w:keepLines w:val="1"/>
        <w:pageBreakBefore w:val="0"/>
        <w:widowControl w:val="1"/>
        <w:numPr>
          <w:ilvl w:val="0"/>
          <w:numId w:val="5"/>
        </w:numPr>
        <w:pBdr>
          <w:top w:space="0" w:sz="0" w:val="nil"/>
          <w:left w:space="0" w:sz="0" w:val="nil"/>
          <w:bottom w:space="0" w:sz="0" w:val="nil"/>
          <w:right w:space="0" w:sz="0" w:val="nil"/>
          <w:between w:space="0" w:sz="0" w:val="nil"/>
        </w:pBdr>
        <w:shd w:fill="dbe5f1" w:val="clear"/>
        <w:tabs>
          <w:tab w:val="left" w:leader="none" w:pos="567"/>
        </w:tabs>
        <w:spacing w:after="120" w:before="240" w:line="240" w:lineRule="auto"/>
        <w:ind w:left="0" w:right="0" w:firstLine="0"/>
        <w:jc w:val="both"/>
        <w:rPr>
          <w:rFonts w:ascii="Calibri" w:cs="Calibri" w:eastAsia="Calibri" w:hAnsi="Calibri"/>
          <w:b w:val="1"/>
          <w:bCs w:val="1"/>
          <w:i w:val="0"/>
          <w:iCs w:val="0"/>
          <w:smallCaps w:val="0"/>
          <w:strike w:val="0"/>
          <w:color w:val="ffffff"/>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SEXTA – PAGAMENTO</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prazo para pagamento ao credenciado e demais condições a ele referentes encontram-se definidos no Termo de Referência, anexo a este termo.</w:t>
      </w:r>
    </w:p>
    <w:p w:rsidR="00000000" w:rsidDel="00000000" w:rsidP="00000000" w:rsidRDefault="00000000" w:rsidRPr="00000000" w14:paraId="0000002A">
      <w:pPr>
        <w:keepNext w:val="1"/>
        <w:keepLines w:val="1"/>
        <w:pageBreakBefore w:val="0"/>
        <w:widowControl w:val="1"/>
        <w:numPr>
          <w:ilvl w:val="0"/>
          <w:numId w:val="5"/>
        </w:numPr>
        <w:pBdr>
          <w:top w:space="0" w:sz="0" w:val="nil"/>
          <w:left w:space="0" w:sz="0" w:val="nil"/>
          <w:bottom w:space="0" w:sz="0" w:val="nil"/>
          <w:right w:space="0" w:sz="0" w:val="nil"/>
          <w:between w:space="0" w:sz="0" w:val="nil"/>
        </w:pBdr>
        <w:shd w:fill="dbe5f1" w:val="clear"/>
        <w:tabs>
          <w:tab w:val="left" w:leader="none" w:pos="567"/>
        </w:tabs>
        <w:spacing w:after="120" w:before="240" w:line="240" w:lineRule="auto"/>
        <w:ind w:left="0" w:right="0" w:firstLine="0"/>
        <w:jc w:val="both"/>
        <w:rPr>
          <w:rFonts w:ascii="Calibri" w:cs="Calibri" w:eastAsia="Calibri" w:hAnsi="Calibri"/>
          <w:b w:val="1"/>
          <w:bCs w:val="1"/>
          <w:i w:val="0"/>
          <w:iCs w:val="0"/>
          <w:smallCaps w:val="0"/>
          <w:strike w:val="0"/>
          <w:color w:val="ffffff"/>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SÉTIMA – REAJUSTE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Os preços inicialmente contratados serão fixos e irreajustáveis pelo prazo de 12 (doze) meses, contados da data de assinatura do contrato ou instrumento equivalente.</w:t>
      </w:r>
    </w:p>
    <w:p w:rsidR="00000000" w:rsidDel="00000000" w:rsidP="00000000" w:rsidRDefault="00000000" w:rsidRPr="00000000" w14:paraId="0000002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Após esse período, os valores poderão ser reajustados, mediante aplicação do Índice Nacional de Preços ao Consumidor Amplo – IPCA, acumulado no período, observado o interregno mínimo de 12 (doze) meses, nos termos da legislação vigente.</w:t>
      </w:r>
    </w:p>
    <w:p w:rsidR="00000000" w:rsidDel="00000000" w:rsidP="00000000" w:rsidRDefault="00000000" w:rsidRPr="00000000" w14:paraId="0000002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O reajuste será aplicado mediante solicitação da contratada ou por iniciativa da Administração, desde que devidamente formalizado, tomando-se como base a data de início da vigência contratual.</w:t>
      </w:r>
      <w:r w:rsidDel="00000000" w:rsidR="00000000" w:rsidRPr="00000000">
        <w:rPr>
          <w:rtl w:val="0"/>
        </w:rPr>
      </w:r>
    </w:p>
    <w:p w:rsidR="00000000" w:rsidDel="00000000" w:rsidP="00000000" w:rsidRDefault="00000000" w:rsidRPr="00000000" w14:paraId="0000002E">
      <w:pPr>
        <w:keepNext w:val="1"/>
        <w:keepLines w:val="1"/>
        <w:pageBreakBefore w:val="0"/>
        <w:widowControl w:val="1"/>
        <w:numPr>
          <w:ilvl w:val="0"/>
          <w:numId w:val="5"/>
        </w:numPr>
        <w:pBdr>
          <w:top w:space="0" w:sz="0" w:val="nil"/>
          <w:left w:space="0" w:sz="0" w:val="nil"/>
          <w:bottom w:space="0" w:sz="0" w:val="nil"/>
          <w:right w:space="0" w:sz="0" w:val="nil"/>
          <w:between w:space="0" w:sz="0" w:val="nil"/>
        </w:pBdr>
        <w:shd w:fill="dbe5f1" w:val="clear"/>
        <w:tabs>
          <w:tab w:val="left" w:leader="none" w:pos="567"/>
        </w:tabs>
        <w:spacing w:after="120" w:before="240" w:line="240" w:lineRule="auto"/>
        <w:ind w:left="0" w:right="0" w:firstLine="0"/>
        <w:jc w:val="both"/>
        <w:rPr>
          <w:rFonts w:ascii="Calibri" w:cs="Calibri" w:eastAsia="Calibri" w:hAnsi="Calibri"/>
          <w:b w:val="1"/>
          <w:bCs w:val="1"/>
          <w:i w:val="0"/>
          <w:iCs w:val="0"/>
          <w:smallCaps w:val="0"/>
          <w:strike w:val="0"/>
          <w:color w:val="ffffff"/>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OITAVA – OBRIGAÇÕES DO CREDENCIANTE</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São obrigações do Credenciante: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Exigir o cumprimento de todas as obrigações assumidas pelo Credenciado, de acordo com o contrato e seus anexos;</w:t>
      </w:r>
    </w:p>
    <w:p w:rsidR="00000000" w:rsidDel="00000000" w:rsidP="00000000" w:rsidRDefault="00000000" w:rsidRPr="00000000" w14:paraId="0000003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Receber o objeto no prazo e condições estabelecidas no Termo de Referência;</w:t>
      </w:r>
    </w:p>
    <w:p w:rsidR="00000000" w:rsidDel="00000000" w:rsidP="00000000" w:rsidRDefault="00000000" w:rsidRPr="00000000" w14:paraId="0000003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Notificar o Credenciado, por escrito, sobre vícios, defeitos ou incorreções verificadas no objeto fornecido, para que seja por ele substituído, reparado ou corrigido, no total ou em parte, às suas expensas;</w:t>
      </w:r>
    </w:p>
    <w:p w:rsidR="00000000" w:rsidDel="00000000" w:rsidP="00000000" w:rsidRDefault="00000000" w:rsidRPr="00000000" w14:paraId="0000003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Acompanhar e fiscalizar a execução do contrato e o cumprimento das obrigações pelo Credenciado;</w:t>
      </w:r>
    </w:p>
    <w:p w:rsidR="00000000" w:rsidDel="00000000" w:rsidP="00000000" w:rsidRDefault="00000000" w:rsidRPr="00000000" w14:paraId="0000003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Efetuar o pagamento ao Credenciado do valor correspondente ao fornecimento do objeto, no prazo, forma e condições estabelecidos no presente Contrato e no Termo de Referência.</w:t>
      </w:r>
    </w:p>
    <w:p w:rsidR="00000000" w:rsidDel="00000000" w:rsidP="00000000" w:rsidRDefault="00000000" w:rsidRPr="00000000" w14:paraId="0000003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Aplicar ao Credenciado as sanções previstas na lei e neste termo; </w:t>
      </w:r>
    </w:p>
    <w:p w:rsidR="00000000" w:rsidDel="00000000" w:rsidP="00000000" w:rsidRDefault="00000000" w:rsidRPr="00000000" w14:paraId="0000003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Cientificar o órgão de representação judicial do município para adoção das medidas cabíveis quando do descumprimento de obrigações pelo Credenciado;</w:t>
      </w:r>
    </w:p>
    <w:p w:rsidR="00000000" w:rsidDel="00000000" w:rsidP="00000000" w:rsidRDefault="00000000" w:rsidRPr="00000000" w14:paraId="0000003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000000" w:rsidDel="00000000" w:rsidP="00000000" w:rsidRDefault="00000000" w:rsidRPr="00000000" w14:paraId="0000003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A Administração terá o prazo de 15 (quinze) dias úteis, a contar da data do protocolo do requerimento para decidir, admitida a prorrogação motivada, por igual período. </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Responder eventuais pedidos de reestabelecimento do equilíbrio econômico-financeiro feitos pelo credenciado no prazo máximo de 15 (quinze) dias úteis.</w:t>
      </w:r>
    </w:p>
    <w:p w:rsidR="00000000" w:rsidDel="00000000" w:rsidP="00000000" w:rsidRDefault="00000000" w:rsidRPr="00000000" w14:paraId="0000003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 Administração não responderá por quaisquer compromissos assumidos pelo Credenciado com terceiros, ainda que vinculados à execução do contrato, bem como por qualquer dano causado a terceiros em decorrência de ato do Credenciado, de seus empregados, prepostos ou subordinados.</w:t>
      </w:r>
    </w:p>
    <w:p w:rsidR="00000000" w:rsidDel="00000000" w:rsidP="00000000" w:rsidRDefault="00000000" w:rsidRPr="00000000" w14:paraId="0000003B">
      <w:pPr>
        <w:keepNext w:val="1"/>
        <w:keepLines w:val="1"/>
        <w:pageBreakBefore w:val="0"/>
        <w:widowControl w:val="1"/>
        <w:numPr>
          <w:ilvl w:val="0"/>
          <w:numId w:val="5"/>
        </w:numPr>
        <w:pBdr>
          <w:top w:space="0" w:sz="0" w:val="nil"/>
          <w:left w:space="0" w:sz="0" w:val="nil"/>
          <w:bottom w:space="0" w:sz="0" w:val="nil"/>
          <w:right w:space="0" w:sz="0" w:val="nil"/>
          <w:between w:space="0" w:sz="0" w:val="nil"/>
        </w:pBdr>
        <w:shd w:fill="dbe5f1" w:val="clear"/>
        <w:tabs>
          <w:tab w:val="left" w:leader="none" w:pos="567"/>
        </w:tabs>
        <w:spacing w:after="120" w:before="240" w:line="240" w:lineRule="auto"/>
        <w:ind w:left="0" w:right="0" w:firstLine="0"/>
        <w:jc w:val="both"/>
        <w:rPr>
          <w:rFonts w:ascii="Calibri" w:cs="Calibri" w:eastAsia="Calibri" w:hAnsi="Calibri"/>
          <w:b w:val="1"/>
          <w:bCs w:val="1"/>
          <w:i w:val="0"/>
          <w:iCs w:val="0"/>
          <w:smallCaps w:val="0"/>
          <w:strike w:val="0"/>
          <w:color w:val="ffffff"/>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NONA – OBRIGAÇÕES DO CREDENCIADO</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Credenciado deve cumprir todas as obrigações constantes deste Contrato e em seus anexos, assumindo como exclusivamente seus os riscos e as despesas decorrentes da boa e perfeita execução do objeto, observando, ainda, as obrigações a seguir dispostas:</w:t>
      </w:r>
    </w:p>
    <w:p w:rsidR="00000000" w:rsidDel="00000000" w:rsidP="00000000" w:rsidRDefault="00000000" w:rsidRPr="00000000" w14:paraId="0000003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Efetuar os serviços obedecendo rigorosamente às especificações do Edital e seus anexos, prestando-os dentro dos padrões de qualidade, continuidade e regularidade, de acordo com a ética;</w:t>
      </w:r>
    </w:p>
    <w:p w:rsidR="00000000" w:rsidDel="00000000" w:rsidP="00000000" w:rsidRDefault="00000000" w:rsidRPr="00000000" w14:paraId="0000003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Disponibilizar todas as condições necessárias para a adequada execução dos serviços médicos em regime de plantão, responsabilizando-se integralmente pelas despesas de ordem técnica, operacional, pessoal e materiais indispensáveis à prestação dos serviços, incluindo a disponibilização de profissionais habilitados, insumos e recursos necessários ao atendimento, nos termos estabelecidos neste Termo de Referência.</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Apresentar mensalmente os relatórios sintéticos e analíticos, com suas respectivas autorizações, e a nota fiscal dos serviços prestados junto ao setor de Compras, Licitações e Contratos de Guaraciaba,</w:t>
      </w:r>
    </w:p>
    <w:p w:rsidR="00000000" w:rsidDel="00000000" w:rsidP="00000000" w:rsidRDefault="00000000" w:rsidRPr="00000000" w14:paraId="0000004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Responsabilizar-se pelo pagamento de salários do pessoal porventura empregado, encargos trabalhistas, previdenciários, fiscais, responsabilidade por indenizações devidas a terceiros, seguro de pessoas e bens, cujos ônus e obrigações, em nenhuma hipótese, poderão ser transferidos para o Município ou qualquer outra esfera do setor público.</w:t>
      </w:r>
    </w:p>
    <w:p w:rsidR="00000000" w:rsidDel="00000000" w:rsidP="00000000" w:rsidRDefault="00000000" w:rsidRPr="00000000" w14:paraId="0000004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Indenizar danos causados aos usuários, aos órgãos dos SUS e a terceiros a ele vinculados, decorrentes de ato ou omissão voluntária, negligência, imperícia ou imprudência, praticadas pelo credenciado, ficando-lhe assegurado o total acesso às formas de defesa;</w:t>
      </w:r>
    </w:p>
    <w:p w:rsidR="00000000" w:rsidDel="00000000" w:rsidP="00000000" w:rsidRDefault="00000000" w:rsidRPr="00000000" w14:paraId="0000004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Responsabilizar-se por eventuais danos causados à Administração ou a terceiros, decorrentes de sua culpa ou dolo na execução do Credenciamento;</w:t>
      </w:r>
    </w:p>
    <w:p w:rsidR="00000000" w:rsidDel="00000000" w:rsidP="00000000" w:rsidRDefault="00000000" w:rsidRPr="00000000" w14:paraId="0000004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Utilizar somente materiais descartáveis e instrumental devidamente esterilizado e mão-de-obra especializada na execução dos serviços;</w:t>
      </w:r>
    </w:p>
    <w:p w:rsidR="00000000" w:rsidDel="00000000" w:rsidP="00000000" w:rsidRDefault="00000000" w:rsidRPr="00000000" w14:paraId="0000004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Garantir ao paciente a confidencialidade dos dados e informações e atender os pacientes com dignidade e respeito, de modo universal e igualitário, sem diferenciação no atendimento, mantendo sempre a qualidade na prestação dos seus serviços.</w:t>
      </w:r>
    </w:p>
    <w:p w:rsidR="00000000" w:rsidDel="00000000" w:rsidP="00000000" w:rsidRDefault="00000000" w:rsidRPr="00000000" w14:paraId="0000004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Informar à Secretaria Municipal de Saúde, imediatamente, eventuais alterações de sua razão social, controle   acionário, mudança   de   endereço, inclusive   alteração   de   responsável   técnico, devendo apresentar ao Setor de Licitações e Contratos da Prefeitura de Guaraciaba/MG, cópia de todos os documentos que sofreram alteração.</w:t>
      </w:r>
    </w:p>
    <w:p w:rsidR="00000000" w:rsidDel="00000000" w:rsidP="00000000" w:rsidRDefault="00000000" w:rsidRPr="00000000" w14:paraId="0000004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Responsabilizar-se pelos vícios e danos decorrentes do objeto, de acordo com o Código de Defesa do Consumidor (</w:t>
      </w:r>
      <w:hyperlink r:id="rId9">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Lei nº 8.078, de 1990</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4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Atender às determinações regulares emitidas pelo fiscal ou gestor do contrato ou autoridade superior (</w:t>
      </w:r>
      <w:hyperlink r:id="rId10">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art. 137, II, da Lei n.º 14.133, de 2021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e prestar todo esclarecimento ou informação por eles solicitados;</w:t>
      </w:r>
    </w:p>
    <w:p w:rsidR="00000000" w:rsidDel="00000000" w:rsidP="00000000" w:rsidRDefault="00000000" w:rsidRPr="00000000" w14:paraId="0000004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Reparar, corrigir, remover, reconstruir ou substituir, às suas expensas, no total ou em parte, no prazo fixado pelo fiscal do contrato, os bens nos quais se verificarem vícios, defeitos ou incorreções resultantes da execução ou dos materiais empregados;</w:t>
      </w:r>
    </w:p>
    <w:p w:rsidR="00000000" w:rsidDel="00000000" w:rsidP="00000000" w:rsidRDefault="00000000" w:rsidRPr="00000000" w14:paraId="0000004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Credenciante, que ficará autorizado a descontar dos pagamentos devidos ou da garantia, caso exigida, o valor correspondente aos danos sofridos;</w:t>
      </w:r>
    </w:p>
    <w:p w:rsidR="00000000" w:rsidDel="00000000" w:rsidP="00000000" w:rsidRDefault="00000000" w:rsidRPr="00000000" w14:paraId="0000004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Quando não for possível a verificação da regularidade no Sistema de Cadastro de Fornecedores – SICAF, o credenciado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credenciado; 4) Certidão de Regularidade do FGTS – CRF; e 5) Certidão Negativa de Débitos Trabalhistas – CNDT; </w:t>
      </w:r>
    </w:p>
    <w:p w:rsidR="00000000" w:rsidDel="00000000" w:rsidP="00000000" w:rsidRDefault="00000000" w:rsidRPr="00000000" w14:paraId="0000004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Responsabilizar-se pelo cumprimento de todas as obrigações trabalhistas, previdenciárias, fiscais, comerciais e as demais previstas em legislação específica, cuja inadimplência não transfere a responsabilidade ao credenciante e não poderá onerar o objeto do contrato;</w:t>
      </w:r>
    </w:p>
    <w:p w:rsidR="00000000" w:rsidDel="00000000" w:rsidP="00000000" w:rsidRDefault="00000000" w:rsidRPr="00000000" w14:paraId="0000004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Comunicar ao Fiscal do contrato, no prazo de 24 (vinte e quatro) horas, qualquer ocorrência anormal ou acidente que se verifique no local da execução do objeto contratual.</w:t>
      </w:r>
    </w:p>
    <w:p w:rsidR="00000000" w:rsidDel="00000000" w:rsidP="00000000" w:rsidRDefault="00000000" w:rsidRPr="00000000" w14:paraId="0000004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Paralisar, por determinação do credenciante, qualquer atividade que não esteja sendo executada de acordo com a boa técnica ou que ponha em risco a segurança de pessoas ou bens de terceiros.</w:t>
      </w:r>
    </w:p>
    <w:p w:rsidR="00000000" w:rsidDel="00000000" w:rsidP="00000000" w:rsidRDefault="00000000" w:rsidRPr="00000000" w14:paraId="0000004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Cumprir, durante todo o período de execução do contrato, a reserva de cargos prevista em lei para pessoa com deficiência, para reabilitado da Previdência Social ou para aprendiz, bem como as reservas de cargos previstas na legislação (</w:t>
      </w:r>
      <w:hyperlink r:id="rId11">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art. 116, da Lei n.º 14.133, de 2021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Comprovar a reserva de cargos a que se refere a cláusula acima, no prazo fixado pelo fiscal do contrato, com a indicação dos empregados que preencheram as referidas vagas (</w:t>
      </w:r>
      <w:hyperlink r:id="rId12">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art. 116, parágrafo único, da Lei n.º 14.133, de 2021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5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Guardar sigilo sobre todas as informações obtidas em decorrência do cumprimento do contrato; </w:t>
      </w:r>
    </w:p>
    <w:p w:rsidR="00000000" w:rsidDel="00000000" w:rsidP="00000000" w:rsidRDefault="00000000" w:rsidRPr="00000000" w14:paraId="0000005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3">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art. 124, II, d, da Lei nº 14.133, de 2021.</w:t>
        </w:r>
      </w:hyperlink>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Cumprir, além dos postulados legais vigentes de âmbito federal, estadual ou municipal, as normas de segurança do credenciante.</w:t>
      </w:r>
    </w:p>
    <w:p w:rsidR="00000000" w:rsidDel="00000000" w:rsidP="00000000" w:rsidRDefault="00000000" w:rsidRPr="00000000" w14:paraId="00000053">
      <w:pPr>
        <w:keepNext w:val="1"/>
        <w:keepLines w:val="1"/>
        <w:pageBreakBefore w:val="0"/>
        <w:widowControl w:val="1"/>
        <w:numPr>
          <w:ilvl w:val="0"/>
          <w:numId w:val="8"/>
        </w:numPr>
        <w:pBdr>
          <w:top w:space="0" w:sz="0" w:val="nil"/>
          <w:left w:space="0" w:sz="0" w:val="nil"/>
          <w:bottom w:space="0" w:sz="0" w:val="nil"/>
          <w:right w:space="0" w:sz="0" w:val="nil"/>
          <w:between w:space="0" w:sz="0" w:val="nil"/>
        </w:pBdr>
        <w:shd w:fill="dbe5f1" w:val="clear"/>
        <w:tabs>
          <w:tab w:val="left" w:leader="none" w:pos="567"/>
          <w:tab w:val="left" w:leader="none" w:pos="0"/>
        </w:tabs>
        <w:spacing w:after="120" w:before="240" w:line="240" w:lineRule="auto"/>
        <w:ind w:left="0" w:right="0" w:firstLine="0"/>
        <w:jc w:val="both"/>
        <w:rPr>
          <w:rFonts w:ascii="Calibri" w:cs="Calibri" w:eastAsia="Calibri" w:hAnsi="Calibri"/>
          <w:b w:val="1"/>
          <w:bCs w:val="1"/>
          <w:i w:val="0"/>
          <w:iCs w:val="0"/>
          <w:smallCaps w:val="0"/>
          <w:strike w:val="0"/>
          <w:color w:val="ffffff"/>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DÉCIMA – OBRIGAÇÕES PERTINENTES À LGPD</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rsidR="00000000" w:rsidDel="00000000" w:rsidP="00000000" w:rsidRDefault="00000000" w:rsidRPr="00000000" w14:paraId="00000055">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Os dados obtidos somente poderão ser utilizados para as finalidades que justificaram seu acesso e de acordo com a boa-fé e com os princípios do art. 6º da LGPD.</w:t>
      </w:r>
    </w:p>
    <w:p w:rsidR="00000000" w:rsidDel="00000000" w:rsidP="00000000" w:rsidRDefault="00000000" w:rsidRPr="00000000" w14:paraId="00000056">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É vedado o compartilhamento com terceiros dos dados obtidos fora das hipóteses permitidas em Lei.</w:t>
      </w:r>
    </w:p>
    <w:p w:rsidR="00000000" w:rsidDel="00000000" w:rsidP="00000000" w:rsidRDefault="00000000" w:rsidRPr="00000000" w14:paraId="00000057">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 Administração deverá ser informada no prazo de 5 (cinco) dias úteis sobre todos os contratos de suboperação firmados ou que venham a ser celebrados pelo CREDENCIADO.</w:t>
      </w:r>
    </w:p>
    <w:p w:rsidR="00000000" w:rsidDel="00000000" w:rsidP="00000000" w:rsidRDefault="00000000" w:rsidRPr="00000000" w14:paraId="00000058">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Terminado o tratamento dos dados nos termos do art. 15 da LGPD, é dever do CREDENCIADO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rsidR="00000000" w:rsidDel="00000000" w:rsidP="00000000" w:rsidRDefault="00000000" w:rsidRPr="00000000" w14:paraId="00000059">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É dever do CREDENCIADO orientar e treinar seus empregados sobre os deveres, requisitos e responsabilidades decorrentes da LGPD. </w:t>
      </w:r>
    </w:p>
    <w:p w:rsidR="00000000" w:rsidDel="00000000" w:rsidP="00000000" w:rsidRDefault="00000000" w:rsidRPr="00000000" w14:paraId="0000005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O CREDENCIANTE poderá realizar diligência para aferir o cumprimento dessa cláusula, devendo o CREDENCIADO atender prontamente eventuais pedidos de comprovação formulados. </w:t>
      </w:r>
    </w:p>
    <w:p w:rsidR="00000000" w:rsidDel="00000000" w:rsidP="00000000" w:rsidRDefault="00000000" w:rsidRPr="00000000" w14:paraId="0000005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CREDENCIADO deverá prestar, no prazo fixado pelo CREDENCIANTE, prorrogável justificadamente, quaisquer informações acerca dos dados pessoais para cumprimento da LGPD, inclusive quanto a eventual descarte realizado. </w:t>
      </w:r>
    </w:p>
    <w:p w:rsidR="00000000" w:rsidDel="00000000" w:rsidP="00000000" w:rsidRDefault="00000000" w:rsidRPr="00000000" w14:paraId="0000005C">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rsidR="00000000" w:rsidDel="00000000" w:rsidP="00000000" w:rsidRDefault="00000000" w:rsidRPr="00000000" w14:paraId="0000005D">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Os referidos bancos de dados devem ser desenvolvidos em formato interoperável, a fim de garantir a reutilização desses dados pela Administração nas hipóteses previstas na LGPD.</w:t>
      </w:r>
    </w:p>
    <w:p w:rsidR="00000000" w:rsidDel="00000000" w:rsidP="00000000" w:rsidRDefault="00000000" w:rsidRPr="00000000" w14:paraId="0000005E">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contrato está sujeito a ser alterado nos procedimentos pertinentes ao tratamento de dados pessoais, quando indicado pela autoridade competente, em especial a ANPD por meio de opiniões técnicas ou recomendações, editadas na forma da LGPD.</w:t>
      </w:r>
    </w:p>
    <w:p w:rsidR="00000000" w:rsidDel="00000000" w:rsidP="00000000" w:rsidRDefault="00000000" w:rsidRPr="00000000" w14:paraId="0000005F">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Os contratos e convênios de que trata o § 1º do art. 26 da LGPD deverão ser comunicados à autoridade nacional.</w:t>
      </w:r>
    </w:p>
    <w:p w:rsidR="00000000" w:rsidDel="00000000" w:rsidP="00000000" w:rsidRDefault="00000000" w:rsidRPr="00000000" w14:paraId="00000060">
      <w:pPr>
        <w:keepNext w:val="1"/>
        <w:keepLines w:val="1"/>
        <w:pageBreakBefore w:val="0"/>
        <w:widowControl w:val="1"/>
        <w:numPr>
          <w:ilvl w:val="0"/>
          <w:numId w:val="8"/>
        </w:numPr>
        <w:pBdr>
          <w:top w:space="0" w:sz="0" w:val="nil"/>
          <w:left w:space="0" w:sz="0" w:val="nil"/>
          <w:bottom w:space="0" w:sz="0" w:val="nil"/>
          <w:right w:space="0" w:sz="0" w:val="nil"/>
          <w:between w:space="0" w:sz="0" w:val="nil"/>
        </w:pBdr>
        <w:shd w:fill="dbe5f1" w:val="clear"/>
        <w:tabs>
          <w:tab w:val="left" w:leader="none" w:pos="567"/>
          <w:tab w:val="left" w:leader="none" w:pos="0"/>
        </w:tabs>
        <w:spacing w:after="120" w:before="240" w:line="240" w:lineRule="auto"/>
        <w:ind w:left="0" w:right="0" w:firstLine="0"/>
        <w:jc w:val="both"/>
        <w:rPr>
          <w:rFonts w:ascii="Calibri" w:cs="Calibri" w:eastAsia="Calibri" w:hAnsi="Calibri"/>
          <w:b w:val="1"/>
          <w:bCs w:val="1"/>
          <w:i w:val="0"/>
          <w:iCs w:val="0"/>
          <w:smallCaps w:val="0"/>
          <w:strike w:val="0"/>
          <w:color w:val="ffffff"/>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DÉCIMA PRIMEIRA – GARANTIA DE EXECUÇÃO</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Calibri" w:cs="Calibri" w:eastAsia="Calibri" w:hAnsi="Calibri"/>
          <w:b w:val="0"/>
          <w:bCs w:val="0"/>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Não haverá exigência de garantia contratual da execução.</w:t>
      </w:r>
      <w:r w:rsidDel="00000000" w:rsidR="00000000" w:rsidRPr="00000000">
        <w:rPr>
          <w:rtl w:val="0"/>
        </w:rPr>
      </w:r>
    </w:p>
    <w:p w:rsidR="00000000" w:rsidDel="00000000" w:rsidP="00000000" w:rsidRDefault="00000000" w:rsidRPr="00000000" w14:paraId="00000062">
      <w:pPr>
        <w:keepNext w:val="1"/>
        <w:keepLines w:val="1"/>
        <w:pageBreakBefore w:val="0"/>
        <w:widowControl w:val="1"/>
        <w:numPr>
          <w:ilvl w:val="0"/>
          <w:numId w:val="8"/>
        </w:numPr>
        <w:pBdr>
          <w:top w:space="0" w:sz="0" w:val="nil"/>
          <w:left w:space="0" w:sz="0" w:val="nil"/>
          <w:bottom w:space="0" w:sz="0" w:val="nil"/>
          <w:right w:space="0" w:sz="0" w:val="nil"/>
          <w:between w:space="0" w:sz="0" w:val="nil"/>
        </w:pBdr>
        <w:shd w:fill="dbe5f1" w:val="clear"/>
        <w:tabs>
          <w:tab w:val="left" w:leader="none" w:pos="567"/>
        </w:tabs>
        <w:spacing w:after="120" w:before="240" w:line="240" w:lineRule="auto"/>
        <w:ind w:left="0" w:right="0" w:firstLine="0"/>
        <w:jc w:val="both"/>
        <w:rPr>
          <w:rFonts w:ascii="Calibri" w:cs="Calibri" w:eastAsia="Calibri" w:hAnsi="Calibri"/>
          <w:b w:val="1"/>
          <w:bCs w:val="1"/>
          <w:i w:val="0"/>
          <w:iCs w:val="0"/>
          <w:smallCaps w:val="0"/>
          <w:strike w:val="0"/>
          <w:color w:val="ffffff"/>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DÉCIMA SEGUNDA – INFRAÇÕES E SANÇÕES ADMINISTRATIVAS</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issq0t5nynaq" w:id="1"/>
      <w:bookmarkEnd w:id="1"/>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Comete infração administrativa, nos termos da </w:t>
      </w:r>
      <w:hyperlink r:id="rId14">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Lei nº 14.133, de 2021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o credenciado que:</w:t>
      </w:r>
    </w:p>
    <w:p w:rsidR="00000000" w:rsidDel="00000000" w:rsidP="00000000" w:rsidRDefault="00000000" w:rsidRPr="00000000" w14:paraId="00000064">
      <w:pPr>
        <w:numPr>
          <w:ilvl w:val="2"/>
          <w:numId w:val="2"/>
        </w:numPr>
        <w:spacing w:after="120" w:lineRule="auto"/>
        <w:ind w:lef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der causa à inexecução parcial do contrato;</w:t>
      </w:r>
    </w:p>
    <w:p w:rsidR="00000000" w:rsidDel="00000000" w:rsidP="00000000" w:rsidRDefault="00000000" w:rsidRPr="00000000" w14:paraId="00000065">
      <w:pPr>
        <w:numPr>
          <w:ilvl w:val="2"/>
          <w:numId w:val="2"/>
        </w:numPr>
        <w:spacing w:after="120" w:lineRule="auto"/>
        <w:ind w:lef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der causa à inexecução parcial do contrato que cause grave dano à Administração ou ao funcionamento dos serviços públicos ou ao interesse coletivo;</w:t>
      </w:r>
    </w:p>
    <w:p w:rsidR="00000000" w:rsidDel="00000000" w:rsidP="00000000" w:rsidRDefault="00000000" w:rsidRPr="00000000" w14:paraId="00000066">
      <w:pPr>
        <w:numPr>
          <w:ilvl w:val="2"/>
          <w:numId w:val="2"/>
        </w:numPr>
        <w:spacing w:after="120" w:lineRule="auto"/>
        <w:ind w:lef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der causa à inexecução total do contrato;</w:t>
      </w:r>
    </w:p>
    <w:p w:rsidR="00000000" w:rsidDel="00000000" w:rsidP="00000000" w:rsidRDefault="00000000" w:rsidRPr="00000000" w14:paraId="00000067">
      <w:pPr>
        <w:numPr>
          <w:ilvl w:val="2"/>
          <w:numId w:val="2"/>
        </w:numPr>
        <w:spacing w:after="120" w:lineRule="auto"/>
        <w:ind w:lef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ensejar o retardamento da execução ou da entrega do objeto da contratação sem motivo justificado;</w:t>
      </w:r>
    </w:p>
    <w:p w:rsidR="00000000" w:rsidDel="00000000" w:rsidP="00000000" w:rsidRDefault="00000000" w:rsidRPr="00000000" w14:paraId="00000068">
      <w:pPr>
        <w:numPr>
          <w:ilvl w:val="2"/>
          <w:numId w:val="2"/>
        </w:numPr>
        <w:spacing w:after="120" w:lineRule="auto"/>
        <w:ind w:lef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apresentar documentação falsa ou prestar declaração falsa durante a execução do contrato;</w:t>
      </w:r>
    </w:p>
    <w:p w:rsidR="00000000" w:rsidDel="00000000" w:rsidP="00000000" w:rsidRDefault="00000000" w:rsidRPr="00000000" w14:paraId="00000069">
      <w:pPr>
        <w:numPr>
          <w:ilvl w:val="2"/>
          <w:numId w:val="2"/>
        </w:numPr>
        <w:spacing w:after="120" w:lineRule="auto"/>
        <w:ind w:lef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praticar ato fraudulento na execução do contrato;</w:t>
      </w:r>
    </w:p>
    <w:p w:rsidR="00000000" w:rsidDel="00000000" w:rsidP="00000000" w:rsidRDefault="00000000" w:rsidRPr="00000000" w14:paraId="0000006A">
      <w:pPr>
        <w:numPr>
          <w:ilvl w:val="2"/>
          <w:numId w:val="2"/>
        </w:numPr>
        <w:spacing w:after="120" w:lineRule="auto"/>
        <w:ind w:lef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comportar-se de modo inidôneo ou cometer fraude de qualquer natureza;</w:t>
      </w:r>
    </w:p>
    <w:p w:rsidR="00000000" w:rsidDel="00000000" w:rsidP="00000000" w:rsidRDefault="00000000" w:rsidRPr="00000000" w14:paraId="0000006B">
      <w:pPr>
        <w:numPr>
          <w:ilvl w:val="2"/>
          <w:numId w:val="2"/>
        </w:numPr>
        <w:spacing w:after="120" w:lineRule="auto"/>
        <w:ind w:lef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praticar ato lesivo previsto no </w:t>
      </w:r>
      <w:hyperlink r:id="rId15">
        <w:r w:rsidDel="00000000" w:rsidR="00000000" w:rsidRPr="00000000">
          <w:rPr>
            <w:rFonts w:ascii="Calibri" w:cs="Calibri" w:eastAsia="Calibri" w:hAnsi="Calibri"/>
            <w:color w:val="000080"/>
            <w:sz w:val="22"/>
            <w:szCs w:val="22"/>
            <w:u w:val="single"/>
            <w:rtl w:val="0"/>
          </w:rPr>
          <w:t xml:space="preserve">art. 5º da Lei nº 12.846, de 1º de agosto de 2013</w:t>
        </w:r>
      </w:hyperlink>
      <w:r w:rsidDel="00000000" w:rsidR="00000000" w:rsidRPr="00000000">
        <w:rPr>
          <w:rFonts w:ascii="Calibri" w:cs="Calibri" w:eastAsia="Calibri" w:hAnsi="Calibri"/>
          <w:sz w:val="22"/>
          <w:szCs w:val="22"/>
          <w:rtl w:val="0"/>
        </w:rPr>
        <w:t xml:space="preserve">.</w:t>
      </w:r>
    </w:p>
    <w:p w:rsidR="00000000" w:rsidDel="00000000" w:rsidP="00000000" w:rsidRDefault="00000000" w:rsidRPr="00000000" w14:paraId="0000006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Serão aplicadas ao credenciado que incorrer nas infrações acima descritas as seguintes sanções:</w:t>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lktc3mftfnbr" w:id="2"/>
      <w:bookmarkEnd w:id="2"/>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Advertência</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quando o credenciado der causa à inexecução parcial do contrato, sempre que não se justificar a imposição de penalidade mais grave (</w:t>
      </w:r>
      <w:hyperlink r:id="rId16">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art. 156, §2º, da Lei nº 14.133, de 2021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Impedimento de licitar e contratar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quando praticadas as condutas descritas nas alíneas “b”, “c” e “d” do subitem acima deste Contrato, sempre que não se justificar a imposição de penalidade mais grave (</w:t>
      </w:r>
      <w:hyperlink r:id="rId17">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art. 156, § 4º, da Lei nº 14.133, de 2021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Declaração de inidoneidade para licitar e contratar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quando praticadas as condutas descritas nas alíneas “e”, “f”, “g” e “h” do subitem acima deste Contrato, bem como nas alíneas “b”, “c” e “d”, que justifiquem a imposição de penalidade mais grave (</w:t>
      </w:r>
      <w:hyperlink r:id="rId18">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art. 156, §5º, da Lei nº 14.133, de 2021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Multa:</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Moratória de 0,07% (sete centésimos por cento) do valor total do contrato por dia de atraso injustificado, até o limite de 30 (trinta) dias. </w:t>
      </w:r>
    </w:p>
    <w:p w:rsidR="00000000" w:rsidDel="00000000" w:rsidP="00000000" w:rsidRDefault="00000000" w:rsidRPr="00000000" w14:paraId="0000007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 O atraso superior a 30 (trinta) dias autoriza a Administração a promover a extinção do contrato por descumprimento ou cumprimento irregular de suas cláusulas, conforme dispõe o inciso I do art. 137 da Lei n. 14.133, de 2021. </w:t>
      </w:r>
    </w:p>
    <w:p w:rsidR="00000000" w:rsidDel="00000000" w:rsidP="00000000" w:rsidRDefault="00000000" w:rsidRPr="00000000" w14:paraId="0000007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Compensatória, de 20% (vinte por cento) sobre o valor total do contrato, no caso de inexecução total do objeto.</w:t>
      </w:r>
    </w:p>
    <w:p w:rsidR="00000000" w:rsidDel="00000000" w:rsidP="00000000" w:rsidRDefault="00000000" w:rsidRPr="00000000" w14:paraId="0000007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 aplicação das sanções previstas neste Contrato não exclui, em hipótese alguma, a obrigação de reparação integral do dano causado ao Credenciante (</w:t>
      </w:r>
      <w:hyperlink r:id="rId19">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art. 156, §9º, da Lei nº 14.133, de 2021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7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Todas as sanções previstas neste Contrato poderão ser aplicadas cumulativamente com a multa (</w:t>
      </w:r>
      <w:hyperlink r:id="rId20">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art. 156, §7º, da Lei nº 14.133, de 2021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7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Antes da aplicação da multa será facultada a defesa do interessado no prazo de 15 (quinze) dias úteis, contado da data de sua intimação (</w:t>
      </w:r>
      <w:hyperlink r:id="rId21">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art. 157, da Lei nº 14.133, de 2021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7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Se a multa aplicada e as indenizações cabíveis forem superiores ao valor do pagamento eventualmente devido pelo Credenciante ao Credenciado, além da perda desse valor, a diferença será descontada da garantia prestada ou será cobrada judicialmente (</w:t>
      </w:r>
      <w:hyperlink r:id="rId22">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art. 156, §8º, da Lei nº 14.133, de 2021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7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ajshosalr37s" w:id="3"/>
      <w:bookmarkEnd w:id="3"/>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Previamente ao encaminhamento à cobrança judicial, a multa poderá ser recolhida administrativamente no prazo máximo de 30 (trinta) dias, a contar da data do recebimento da comunicação enviada pela autoridade competente.</w:t>
      </w:r>
    </w:p>
    <w:p w:rsidR="00000000" w:rsidDel="00000000" w:rsidP="00000000" w:rsidRDefault="00000000" w:rsidRPr="00000000" w14:paraId="0000007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 aplicação das sanções realizar-se-á em processo administrativo que assegure o contraditório e a ampla defesa ao Credenciado, observando-se o procedimento previsto no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caput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 parágrafos do </w:t>
      </w:r>
      <w:hyperlink r:id="rId23">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art. 158 da Lei nº 14.133, de 2021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para as penalidades de impedimento de licitar e contratar e de declaração de inidoneidade para licitar ou contratar.</w:t>
      </w:r>
    </w:p>
    <w:p w:rsidR="00000000" w:rsidDel="00000000" w:rsidP="00000000" w:rsidRDefault="00000000" w:rsidRPr="00000000" w14:paraId="0000007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 aplicação das sanções serão considerados (</w:t>
      </w:r>
      <w:hyperlink r:id="rId24">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art. 156, §1º, da Lei nº 14.133, de 2021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7B">
      <w:pPr>
        <w:numPr>
          <w:ilvl w:val="0"/>
          <w:numId w:val="1"/>
        </w:numPr>
        <w:spacing w:after="120" w:lineRule="auto"/>
        <w:ind w:lef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 natureza e a gravidade da infração cometida;</w:t>
      </w:r>
    </w:p>
    <w:p w:rsidR="00000000" w:rsidDel="00000000" w:rsidP="00000000" w:rsidRDefault="00000000" w:rsidRPr="00000000" w14:paraId="0000007C">
      <w:pPr>
        <w:numPr>
          <w:ilvl w:val="0"/>
          <w:numId w:val="1"/>
        </w:numPr>
        <w:spacing w:after="120" w:lineRule="auto"/>
        <w:ind w:lef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as peculiaridades do caso concreto;</w:t>
      </w:r>
    </w:p>
    <w:p w:rsidR="00000000" w:rsidDel="00000000" w:rsidP="00000000" w:rsidRDefault="00000000" w:rsidRPr="00000000" w14:paraId="0000007D">
      <w:pPr>
        <w:numPr>
          <w:ilvl w:val="0"/>
          <w:numId w:val="1"/>
        </w:numPr>
        <w:spacing w:after="120" w:lineRule="auto"/>
        <w:ind w:lef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as circunstâncias agravantes ou atenuantes;</w:t>
      </w:r>
    </w:p>
    <w:p w:rsidR="00000000" w:rsidDel="00000000" w:rsidP="00000000" w:rsidRDefault="00000000" w:rsidRPr="00000000" w14:paraId="0000007E">
      <w:pPr>
        <w:numPr>
          <w:ilvl w:val="0"/>
          <w:numId w:val="1"/>
        </w:numPr>
        <w:spacing w:after="120" w:lineRule="auto"/>
        <w:ind w:lef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os danos que dela provierem para o Credenciante;</w:t>
      </w:r>
    </w:p>
    <w:p w:rsidR="00000000" w:rsidDel="00000000" w:rsidP="00000000" w:rsidRDefault="00000000" w:rsidRPr="00000000" w14:paraId="0000007F">
      <w:pPr>
        <w:numPr>
          <w:ilvl w:val="0"/>
          <w:numId w:val="1"/>
        </w:numPr>
        <w:spacing w:after="120" w:lineRule="auto"/>
        <w:ind w:lef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 implantação ou o aperfeiçoamento de programa de integridade, conforme normas e orientações dos órgãos de controle.</w:t>
      </w:r>
    </w:p>
    <w:p w:rsidR="00000000" w:rsidDel="00000000" w:rsidP="00000000" w:rsidRDefault="00000000" w:rsidRPr="00000000" w14:paraId="0000008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Os atos previstos como infrações administrativas na </w:t>
      </w:r>
      <w:hyperlink r:id="rId25">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Lei nº 14.133, de 2021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ou em outras leis de licitações e contratos da Administração Pública que também sejam tipificados como atos lesivos na </w:t>
      </w:r>
      <w:hyperlink r:id="rId26">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Lei nº 12.846, de 2013</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serão apurados e julgados conjuntamente, nos mesmos autos, observados o rito procedimental e autoridade competente definidos na referida Lei (</w:t>
      </w:r>
      <w:hyperlink r:id="rId27">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art. 159</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8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 personalidade jurídica do Credenciado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Credenciado, observados, em todos os casos, o contraditório, a ampla defesa e a obrigatoriedade de análise jurídica prévia (</w:t>
      </w:r>
      <w:hyperlink r:id="rId28">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art. 160, da Lei nº 14.133, de 2021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O Credenciante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29">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Art. 161, da Lei nº 14.133, de 2021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 sanções de impedimento de licitar e contratar e declaração de inidoneidade para licitar ou contratar são passíveis de reabilitação na forma do </w:t>
      </w:r>
      <w:hyperlink r:id="rId30">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art. 163 da Lei nº 14.133/21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Os débitos do credenciado para com a Administração credenciante, resultantes de multa administrativa e/ou indenizações, não inscritos em dívida ativa, poderão ser compensados, total ou parcialmente, com os créditos devidos pelo referido órgão decorrentes deste mesmo contrato ou de outros contratos administrativos que o credenciado possua com o mesmo órgão ora credenciante, na forma da Instrução </w:t>
      </w:r>
      <w:hyperlink r:id="rId31">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Normativa SEGES/ME nº 26, de 13 de abril de 2022</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85">
      <w:pPr>
        <w:keepNext w:val="1"/>
        <w:keepLines w:val="1"/>
        <w:pageBreakBefore w:val="0"/>
        <w:widowControl w:val="1"/>
        <w:numPr>
          <w:ilvl w:val="0"/>
          <w:numId w:val="7"/>
        </w:numPr>
        <w:pBdr>
          <w:top w:space="0" w:sz="0" w:val="nil"/>
          <w:left w:space="0" w:sz="0" w:val="nil"/>
          <w:bottom w:space="0" w:sz="0" w:val="nil"/>
          <w:right w:space="0" w:sz="0" w:val="nil"/>
          <w:between w:space="0" w:sz="0" w:val="nil"/>
        </w:pBdr>
        <w:shd w:fill="dbe5f1" w:val="clear"/>
        <w:tabs>
          <w:tab w:val="left" w:leader="none" w:pos="567"/>
        </w:tabs>
        <w:spacing w:after="120" w:before="240" w:line="240" w:lineRule="auto"/>
        <w:ind w:left="0" w:right="0"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DÉCIMA TERCEIRA – DO DESCREDENCIAMENTO</w:t>
      </w:r>
    </w:p>
    <w:p w:rsidR="00000000" w:rsidDel="00000000" w:rsidP="00000000" w:rsidRDefault="00000000" w:rsidRPr="00000000" w14:paraId="0000008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0" w:line="240" w:lineRule="auto"/>
        <w:ind w:left="360" w:right="0" w:hanging="36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Será realizado o descredenciamento quando houver: </w:t>
      </w: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0" w:line="240" w:lineRule="auto"/>
        <w:ind w:left="720" w:right="0" w:hanging="72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pedido formalizado pelo credenciado, no prazo de 60 (sessenta) dias. </w:t>
      </w:r>
    </w:p>
    <w:p w:rsidR="00000000" w:rsidDel="00000000" w:rsidP="00000000" w:rsidRDefault="00000000" w:rsidRPr="00000000" w14:paraId="0000008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0" w:line="240" w:lineRule="auto"/>
        <w:ind w:left="720" w:right="0" w:hanging="72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perda das condições de habilitação do credenciado;</w:t>
      </w:r>
    </w:p>
    <w:p w:rsidR="00000000" w:rsidDel="00000000" w:rsidP="00000000" w:rsidRDefault="00000000" w:rsidRPr="00000000" w14:paraId="0000008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0" w:line="240" w:lineRule="auto"/>
        <w:ind w:left="720" w:right="0" w:hanging="72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descumprimento injustificado do contrato pelo credenciado; e</w:t>
      </w:r>
    </w:p>
    <w:p w:rsidR="00000000" w:rsidDel="00000000" w:rsidP="00000000" w:rsidRDefault="00000000" w:rsidRPr="00000000" w14:paraId="0000008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0" w:line="240" w:lineRule="auto"/>
        <w:ind w:left="720" w:right="0" w:hanging="72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sanção de impedimento de licitar e contratar ou de declaração de inidoneidade superveniente ao credenciamento. </w:t>
      </w:r>
    </w:p>
    <w:p w:rsidR="00000000" w:rsidDel="00000000" w:rsidP="00000000" w:rsidRDefault="00000000" w:rsidRPr="00000000" w14:paraId="0000008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0" w:line="240" w:lineRule="auto"/>
        <w:ind w:left="36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pedido de descredenciamento de que trata o item 13.1.1 não desincumbirá o credenciado do cumprimento de eventuais contratos assumidos e das responsabilidades deles recorrentes. </w:t>
      </w:r>
    </w:p>
    <w:p w:rsidR="00000000" w:rsidDel="00000000" w:rsidP="00000000" w:rsidRDefault="00000000" w:rsidRPr="00000000" w14:paraId="0000008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0" w:line="240" w:lineRule="auto"/>
        <w:ind w:left="36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Nas hipóteses previstas nos subitens 13.1.2 e 13.1.3, além do descredenciamento, deverá ser aberto processo administrativo, assegurados o contraditório e a ampla defesa, para possível aplicação de penalidade, na forma estabelecida na legislação. </w:t>
      </w:r>
    </w:p>
    <w:p w:rsidR="00000000" w:rsidDel="00000000" w:rsidP="00000000" w:rsidRDefault="00000000" w:rsidRPr="00000000" w14:paraId="0000008D">
      <w:pPr>
        <w:keepNext w:val="1"/>
        <w:keepLines w:val="1"/>
        <w:pageBreakBefore w:val="0"/>
        <w:widowControl w:val="1"/>
        <w:numPr>
          <w:ilvl w:val="0"/>
          <w:numId w:val="7"/>
        </w:numPr>
        <w:pBdr>
          <w:top w:space="0" w:sz="0" w:val="nil"/>
          <w:left w:space="0" w:sz="0" w:val="nil"/>
          <w:bottom w:space="0" w:sz="0" w:val="nil"/>
          <w:right w:space="0" w:sz="0" w:val="nil"/>
          <w:between w:space="0" w:sz="0" w:val="nil"/>
        </w:pBdr>
        <w:shd w:fill="dbe5f1" w:val="clear"/>
        <w:tabs>
          <w:tab w:val="left" w:leader="none" w:pos="567"/>
        </w:tabs>
        <w:spacing w:after="120" w:before="240" w:line="240" w:lineRule="auto"/>
        <w:ind w:left="0" w:right="0"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DÉCIMA QUARTA – DOTAÇÃO ORÇAMENTÁRIA</w:t>
      </w:r>
    </w:p>
    <w:p w:rsidR="00000000" w:rsidDel="00000000" w:rsidP="00000000" w:rsidRDefault="00000000" w:rsidRPr="00000000" w14:paraId="0000008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 despesas decorrentes do presente termo de credenciamento correrão à conta de dotação orçamentária constante do orçamento vigente sob a seguinte rubrica: </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sz w:val="22"/>
          <w:szCs w:val="22"/>
          <w:rtl w:val="0"/>
        </w:rPr>
        <w:t xml:space="preserve">02.06.03 - 10 122 0001 2046 0000 - 33 90 39</w:t>
      </w:r>
      <w:r w:rsidDel="00000000" w:rsidR="00000000" w:rsidRPr="00000000">
        <w:rPr>
          <w:rtl w:val="0"/>
        </w:rPr>
      </w:r>
    </w:p>
    <w:p w:rsidR="00000000" w:rsidDel="00000000" w:rsidP="00000000" w:rsidRDefault="00000000" w:rsidRPr="00000000" w14:paraId="00000090">
      <w:pPr>
        <w:keepNext w:val="1"/>
        <w:keepLines w:val="1"/>
        <w:pageBreakBefore w:val="0"/>
        <w:widowControl w:val="1"/>
        <w:numPr>
          <w:ilvl w:val="0"/>
          <w:numId w:val="7"/>
        </w:numPr>
        <w:pBdr>
          <w:top w:space="0" w:sz="0" w:val="nil"/>
          <w:left w:space="0" w:sz="0" w:val="nil"/>
          <w:bottom w:space="0" w:sz="0" w:val="nil"/>
          <w:right w:space="0" w:sz="0" w:val="nil"/>
          <w:between w:space="0" w:sz="0" w:val="nil"/>
        </w:pBdr>
        <w:shd w:fill="dbe5f1" w:val="clear"/>
        <w:tabs>
          <w:tab w:val="left" w:leader="none" w:pos="567"/>
        </w:tabs>
        <w:spacing w:after="120" w:before="240" w:line="240" w:lineRule="auto"/>
        <w:ind w:left="0" w:right="0" w:firstLine="0"/>
        <w:jc w:val="both"/>
        <w:rPr>
          <w:rFonts w:ascii="Calibri" w:cs="Calibri" w:eastAsia="Calibri" w:hAnsi="Calibri"/>
          <w:b w:val="1"/>
          <w:bCs w:val="1"/>
          <w:i w:val="0"/>
          <w:iCs w:val="0"/>
          <w:smallCaps w:val="0"/>
          <w:strike w:val="0"/>
          <w:color w:val="ffffff"/>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DÉCIMA QUINTA – DOS CASOS OMISSOS</w:t>
      </w: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Os casos omissos serão decididos pelo credenciante, segundo as disposições contidas na Lei </w:t>
      </w:r>
      <w:hyperlink r:id="rId32">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nº 14.133, de 2021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e demais normas federais aplicáveis e decreto municipal e, subsidiariamente, segundo as disposições contidas na </w:t>
      </w:r>
      <w:hyperlink r:id="rId33">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Lei nº 8.078, de 1990 – Código de Defesa do Consumidor</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 e normas e princípios gerais dos contratos.</w:t>
      </w:r>
    </w:p>
    <w:p w:rsidR="00000000" w:rsidDel="00000000" w:rsidP="00000000" w:rsidRDefault="00000000" w:rsidRPr="00000000" w14:paraId="00000092">
      <w:pPr>
        <w:keepNext w:val="1"/>
        <w:keepLines w:val="1"/>
        <w:pageBreakBefore w:val="0"/>
        <w:widowControl w:val="1"/>
        <w:numPr>
          <w:ilvl w:val="0"/>
          <w:numId w:val="7"/>
        </w:numPr>
        <w:pBdr>
          <w:top w:space="0" w:sz="0" w:val="nil"/>
          <w:left w:space="0" w:sz="0" w:val="nil"/>
          <w:bottom w:space="0" w:sz="0" w:val="nil"/>
          <w:right w:space="0" w:sz="0" w:val="nil"/>
          <w:between w:space="0" w:sz="0" w:val="nil"/>
        </w:pBdr>
        <w:shd w:fill="dbe5f1" w:val="clear"/>
        <w:tabs>
          <w:tab w:val="left" w:leader="none" w:pos="567"/>
        </w:tabs>
        <w:spacing w:after="120" w:before="240" w:line="240" w:lineRule="auto"/>
        <w:ind w:left="0" w:right="0" w:firstLine="0"/>
        <w:jc w:val="both"/>
        <w:rPr>
          <w:rFonts w:ascii="Calibri" w:cs="Calibri" w:eastAsia="Calibri" w:hAnsi="Calibri"/>
          <w:b w:val="1"/>
          <w:bCs w:val="1"/>
          <w:i w:val="0"/>
          <w:iCs w:val="0"/>
          <w:smallCaps w:val="0"/>
          <w:strike w:val="0"/>
          <w:color w:val="ffffff"/>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DÉCIMA SEXTA – DISPOSIÇÕES GERAIS</w:t>
      </w: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Credenciado assume exclusiva responsabilidade pelo cumprimento de todas as obrigações decorrentes da execução do presente Termo, sejam de natureza trabalhista, fiscal, previdenciária, social, comercial, civil, inexistindo qualquer espécie de solidariedade do Credenciante relativamente a esses encargos, inclusive, os que contratualmente advierem de prejuízos causados a terceiros. </w:t>
      </w:r>
    </w:p>
    <w:p w:rsidR="00000000" w:rsidDel="00000000" w:rsidP="00000000" w:rsidRDefault="00000000" w:rsidRPr="00000000" w14:paraId="0000009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Todas as condições e exigências que constam do Edital de Credenciamento fazem parte integrante do presente Termo, como se aqui estivessem transcritos. </w:t>
      </w:r>
    </w:p>
    <w:p w:rsidR="00000000" w:rsidDel="00000000" w:rsidP="00000000" w:rsidRDefault="00000000" w:rsidRPr="00000000" w14:paraId="00000095">
      <w:pPr>
        <w:keepNext w:val="1"/>
        <w:keepLines w:val="1"/>
        <w:pageBreakBefore w:val="0"/>
        <w:widowControl w:val="1"/>
        <w:numPr>
          <w:ilvl w:val="0"/>
          <w:numId w:val="7"/>
        </w:numPr>
        <w:pBdr>
          <w:top w:space="0" w:sz="0" w:val="nil"/>
          <w:left w:space="0" w:sz="0" w:val="nil"/>
          <w:bottom w:space="0" w:sz="0" w:val="nil"/>
          <w:right w:space="0" w:sz="0" w:val="nil"/>
          <w:between w:space="0" w:sz="0" w:val="nil"/>
        </w:pBdr>
        <w:shd w:fill="dbe5f1" w:val="clear"/>
        <w:tabs>
          <w:tab w:val="left" w:leader="none" w:pos="567"/>
        </w:tabs>
        <w:spacing w:after="120" w:before="240" w:line="240" w:lineRule="auto"/>
        <w:ind w:left="0" w:right="0" w:firstLine="0"/>
        <w:jc w:val="both"/>
        <w:rPr>
          <w:rFonts w:ascii="Calibri" w:cs="Calibri" w:eastAsia="Calibri" w:hAnsi="Calibri"/>
          <w:b w:val="1"/>
          <w:bCs w:val="1"/>
          <w:i w:val="0"/>
          <w:iCs w:val="0"/>
          <w:smallCaps w:val="0"/>
          <w:strike w:val="0"/>
          <w:color w:val="ffffff"/>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DÉCIMA SÉTIMA – PUBLICAÇÃO</w:t>
      </w:r>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Incumbirá ao Credenciante divulgar o presente instrumento no Portal Nacional de Contratações Públicas (PNCP), na forma prevista no </w:t>
      </w:r>
      <w:hyperlink r:id="rId34">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art. 94 da Lei 14.133, de 2021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bem como no respectivo sítio oficial na Internet, em atenção ao art. 91,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caput,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da Lei n.º 14.133, de 2021, e ao </w:t>
      </w:r>
      <w:hyperlink r:id="rId35">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art. 8º, §2º, da Lei n. 12.527, de 2011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c/c </w:t>
      </w:r>
      <w:hyperlink r:id="rId36">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art. 7º, §3º, inciso V, do Decreto n. 7.724, de 2012</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e conforme Decreto Municipal nº 0105/2023 de 06 de dezembro de 2023.</w:t>
      </w:r>
    </w:p>
    <w:p w:rsidR="00000000" w:rsidDel="00000000" w:rsidP="00000000" w:rsidRDefault="00000000" w:rsidRPr="00000000" w14:paraId="00000097">
      <w:pPr>
        <w:keepNext w:val="1"/>
        <w:keepLines w:val="1"/>
        <w:pageBreakBefore w:val="0"/>
        <w:widowControl w:val="1"/>
        <w:numPr>
          <w:ilvl w:val="0"/>
          <w:numId w:val="7"/>
        </w:numPr>
        <w:pBdr>
          <w:top w:space="0" w:sz="0" w:val="nil"/>
          <w:left w:space="0" w:sz="0" w:val="nil"/>
          <w:bottom w:space="0" w:sz="0" w:val="nil"/>
          <w:right w:space="0" w:sz="0" w:val="nil"/>
          <w:between w:space="0" w:sz="0" w:val="nil"/>
        </w:pBdr>
        <w:shd w:fill="dbe5f1" w:val="clear"/>
        <w:tabs>
          <w:tab w:val="left" w:leader="none" w:pos="567"/>
        </w:tabs>
        <w:spacing w:after="120" w:before="240" w:line="240" w:lineRule="auto"/>
        <w:ind w:left="0" w:right="0" w:firstLine="0"/>
        <w:jc w:val="both"/>
        <w:rPr>
          <w:rFonts w:ascii="Calibri" w:cs="Calibri" w:eastAsia="Calibri" w:hAnsi="Calibri"/>
          <w:b w:val="1"/>
          <w:bCs w:val="1"/>
          <w:i w:val="0"/>
          <w:iCs w:val="0"/>
          <w:smallCaps w:val="0"/>
          <w:strike w:val="0"/>
          <w:color w:val="ffffff"/>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DÉCIMA OITAVA – FORO</w:t>
      </w: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Fica eleito o foro de Ponte Nova – MG, para dirimir os litígios que decorrerem da execução deste Termo de Contrato que não puderem ser compostos pela conciliação, conforme </w:t>
      </w:r>
      <w:hyperlink r:id="rId37">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art. 92, §1º, da Lei nº 14.133/21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Guaraciaba/MG, xx de xxxxxxxxxx de 2026. </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1"/>
          <w:iCs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bCs w:val="1"/>
          <w:i w:val="1"/>
          <w:iCs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D">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_________________________</w:t>
      </w:r>
    </w:p>
    <w:p w:rsidR="00000000" w:rsidDel="00000000" w:rsidP="00000000" w:rsidRDefault="00000000" w:rsidRPr="00000000" w14:paraId="0000009E">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Representante legal do CREDENCIANTE</w:t>
      </w:r>
    </w:p>
    <w:p w:rsidR="00000000" w:rsidDel="00000000" w:rsidP="00000000" w:rsidRDefault="00000000" w:rsidRPr="00000000" w14:paraId="0000009F">
      <w:pPr>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A0">
      <w:pPr>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A1">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_________________________</w:t>
      </w:r>
    </w:p>
    <w:p w:rsidR="00000000" w:rsidDel="00000000" w:rsidP="00000000" w:rsidRDefault="00000000" w:rsidRPr="00000000" w14:paraId="000000A2">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Representante legal do CREDENCIADO</w:t>
      </w:r>
    </w:p>
    <w:sectPr>
      <w:headerReference r:id="rId38" w:type="default"/>
      <w:footerReference r:id="rId39" w:type="default"/>
      <w:pgSz w:h="16838" w:w="11906" w:orient="portrait"/>
      <w:pgMar w:bottom="284" w:top="2552" w:left="1418" w:right="1134"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Cambria"/>
  <w:font w:name="Arial"/>
  <w:font w:name="Ecofont_Spranq_eco_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8">
    <w:pPr>
      <w:tabs>
        <w:tab w:val="center" w:leader="none" w:pos="4252"/>
        <w:tab w:val="right" w:leader="none" w:pos="8504"/>
      </w:tabs>
      <w:jc w:val="righ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Página </w:t>
    </w:r>
    <w:r w:rsidDel="00000000" w:rsidR="00000000" w:rsidRPr="00000000">
      <w:rPr>
        <w:rFonts w:ascii="Calibri" w:cs="Calibri" w:eastAsia="Calibri" w:hAnsi="Calibri"/>
        <w:b w:val="1"/>
        <w:bCs w:val="1"/>
      </w:rPr>
      <w:fldChar w:fldCharType="begin"/>
      <w:instrText xml:space="preserve">PAGE</w:instrText>
      <w:fldChar w:fldCharType="separate"/>
      <w:fldChar w:fldCharType="end"/>
    </w:r>
    <w:r w:rsidDel="00000000" w:rsidR="00000000" w:rsidRPr="00000000">
      <w:rPr>
        <w:rFonts w:ascii="Calibri" w:cs="Calibri" w:eastAsia="Calibri" w:hAnsi="Calibri"/>
        <w:sz w:val="20"/>
        <w:szCs w:val="20"/>
        <w:rtl w:val="0"/>
      </w:rPr>
      <w:t xml:space="preserve"> de </w:t>
    </w:r>
    <w:r w:rsidDel="00000000" w:rsidR="00000000" w:rsidRPr="00000000">
      <w:rPr>
        <w:rFonts w:ascii="Calibri" w:cs="Calibri" w:eastAsia="Calibri" w:hAnsi="Calibri"/>
        <w:b w:val="1"/>
        <w:bCs w:val="1"/>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3">
    <w:pPr>
      <w:tabs>
        <w:tab w:val="left" w:leader="none" w:pos="2668"/>
        <w:tab w:val="center" w:leader="none" w:pos="4252"/>
        <w:tab w:val="right" w:leader="none" w:pos="8504"/>
      </w:tabs>
      <w:jc w:val="center"/>
      <w:rPr>
        <w:rFonts w:ascii="Arial" w:cs="Arial" w:eastAsia="Arial" w:hAnsi="Arial"/>
        <w:b w:val="1"/>
        <w:bCs w:val="1"/>
        <w:sz w:val="30"/>
        <w:szCs w:val="30"/>
      </w:rPr>
    </w:pPr>
    <w:r w:rsidDel="00000000" w:rsidR="00000000" w:rsidRPr="00000000">
      <w:rPr>
        <w:rFonts w:ascii="Arial" w:cs="Arial" w:eastAsia="Arial" w:hAnsi="Arial"/>
        <w:b w:val="1"/>
        <w:bCs w:val="1"/>
        <w:sz w:val="30"/>
        <w:szCs w:val="30"/>
        <w:rtl w:val="0"/>
      </w:rPr>
      <w:t xml:space="preserve">PREFEITURA MUNICIPAL DE GUARACIABA</w:t>
    </w:r>
    <w:r w:rsidDel="00000000" w:rsidR="00000000" w:rsidRPr="00000000">
      <w:drawing>
        <wp:anchor allowOverlap="1" behindDoc="0" distB="0" distT="0" distL="114300" distR="114300" hidden="0" layoutInCell="1" locked="0" relativeHeight="0" simplePos="0">
          <wp:simplePos x="0" y="0"/>
          <wp:positionH relativeFrom="column">
            <wp:posOffset>5171440</wp:posOffset>
          </wp:positionH>
          <wp:positionV relativeFrom="paragraph">
            <wp:posOffset>-259078</wp:posOffset>
          </wp:positionV>
          <wp:extent cx="1187467" cy="1272540"/>
          <wp:effectExtent b="0" l="0" r="0" t="0"/>
          <wp:wrapSquare wrapText="bothSides" distB="0" distT="0" distL="114300" distR="114300"/>
          <wp:docPr id="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187467" cy="127254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-253999</wp:posOffset>
          </wp:positionH>
          <wp:positionV relativeFrom="paragraph">
            <wp:posOffset>-213994</wp:posOffset>
          </wp:positionV>
          <wp:extent cx="1165860" cy="1165860"/>
          <wp:effectExtent b="0" l="0" r="0" t="0"/>
          <wp:wrapSquare wrapText="bothSides" distB="0" distT="0" distL="114300" distR="114300"/>
          <wp:docPr id="2" name="image1.jpg"/>
          <a:graphic>
            <a:graphicData uri="http://schemas.openxmlformats.org/drawingml/2006/picture">
              <pic:pic>
                <pic:nvPicPr>
                  <pic:cNvPr id="0" name="image1.jpg"/>
                  <pic:cNvPicPr preferRelativeResize="0"/>
                </pic:nvPicPr>
                <pic:blipFill>
                  <a:blip r:embed="rId2"/>
                  <a:srcRect b="0" l="0" r="0" t="0"/>
                  <a:stretch>
                    <a:fillRect/>
                  </a:stretch>
                </pic:blipFill>
                <pic:spPr>
                  <a:xfrm>
                    <a:off x="0" y="0"/>
                    <a:ext cx="1165860" cy="1165860"/>
                  </a:xfrm>
                  <a:prstGeom prst="rect"/>
                  <a:ln/>
                </pic:spPr>
              </pic:pic>
            </a:graphicData>
          </a:graphic>
        </wp:anchor>
      </w:drawing>
    </w:r>
  </w:p>
  <w:p w:rsidR="00000000" w:rsidDel="00000000" w:rsidP="00000000" w:rsidRDefault="00000000" w:rsidRPr="00000000" w14:paraId="000000A4">
    <w:pPr>
      <w:tabs>
        <w:tab w:val="left" w:leader="none" w:pos="2668"/>
        <w:tab w:val="center" w:leader="none" w:pos="4252"/>
        <w:tab w:val="right" w:leader="none" w:pos="8504"/>
      </w:tabs>
      <w:jc w:val="center"/>
      <w:rPr>
        <w:rFonts w:ascii="Arial" w:cs="Arial" w:eastAsia="Arial" w:hAnsi="Arial"/>
        <w:b w:val="1"/>
        <w:bCs w:val="1"/>
        <w:i w:val="1"/>
        <w:iCs w:val="1"/>
        <w:color w:val="0000ff"/>
        <w:u w:val="single"/>
      </w:rPr>
    </w:pPr>
    <w:r w:rsidDel="00000000" w:rsidR="00000000" w:rsidRPr="00000000">
      <w:rPr>
        <w:rFonts w:ascii="Arial" w:cs="Arial" w:eastAsia="Arial" w:hAnsi="Arial"/>
        <w:b w:val="1"/>
        <w:bCs w:val="1"/>
        <w:rtl w:val="0"/>
      </w:rPr>
      <w:t xml:space="preserve">ESTADO DE MINAS GERAIS</w:t>
    </w:r>
    <w:r w:rsidDel="00000000" w:rsidR="00000000" w:rsidRPr="00000000">
      <w:rPr>
        <w:rtl w:val="0"/>
      </w:rPr>
    </w:r>
  </w:p>
  <w:p w:rsidR="00000000" w:rsidDel="00000000" w:rsidP="00000000" w:rsidRDefault="00000000" w:rsidRPr="00000000" w14:paraId="000000A5">
    <w:pPr>
      <w:tabs>
        <w:tab w:val="center" w:leader="none" w:pos="4252"/>
        <w:tab w:val="right" w:leader="none" w:pos="8504"/>
      </w:tabs>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Rua Direita, nº 92, Centro - CEP 35.436-000 - CNPJ 19.382.647/0001-53</w:t>
    </w:r>
  </w:p>
  <w:p w:rsidR="00000000" w:rsidDel="00000000" w:rsidP="00000000" w:rsidRDefault="00000000" w:rsidRPr="00000000" w14:paraId="000000A6">
    <w:pPr>
      <w:tabs>
        <w:tab w:val="center" w:leader="none" w:pos="4252"/>
        <w:tab w:val="right" w:leader="none" w:pos="8504"/>
      </w:tabs>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Tel.: (31)3893-5130 e-mail: contratos@guaraciaba.mg.gov.br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1436" w:hanging="360"/>
      </w:pPr>
      <w:rPr/>
    </w:lvl>
    <w:lvl w:ilvl="1">
      <w:start w:val="1"/>
      <w:numFmt w:val="lowerLetter"/>
      <w:lvlText w:val="%2."/>
      <w:lvlJc w:val="left"/>
      <w:pPr>
        <w:ind w:left="2156" w:hanging="360"/>
      </w:pPr>
      <w:rPr/>
    </w:lvl>
    <w:lvl w:ilvl="2">
      <w:start w:val="1"/>
      <w:numFmt w:val="lowerRoman"/>
      <w:lvlText w:val="%3."/>
      <w:lvlJc w:val="right"/>
      <w:pPr>
        <w:ind w:left="2876" w:hanging="180"/>
      </w:pPr>
      <w:rPr/>
    </w:lvl>
    <w:lvl w:ilvl="3">
      <w:start w:val="1"/>
      <w:numFmt w:val="decimal"/>
      <w:lvlText w:val="%4."/>
      <w:lvlJc w:val="left"/>
      <w:pPr>
        <w:ind w:left="3596" w:hanging="360"/>
      </w:pPr>
      <w:rPr/>
    </w:lvl>
    <w:lvl w:ilvl="4">
      <w:start w:val="1"/>
      <w:numFmt w:val="lowerLetter"/>
      <w:lvlText w:val="%5."/>
      <w:lvlJc w:val="left"/>
      <w:pPr>
        <w:ind w:left="4316" w:hanging="360"/>
      </w:pPr>
      <w:rPr/>
    </w:lvl>
    <w:lvl w:ilvl="5">
      <w:start w:val="1"/>
      <w:numFmt w:val="lowerRoman"/>
      <w:lvlText w:val="%6."/>
      <w:lvlJc w:val="right"/>
      <w:pPr>
        <w:ind w:left="5036" w:hanging="180"/>
      </w:pPr>
      <w:rPr/>
    </w:lvl>
    <w:lvl w:ilvl="6">
      <w:start w:val="1"/>
      <w:numFmt w:val="decimal"/>
      <w:lvlText w:val="%7."/>
      <w:lvlJc w:val="left"/>
      <w:pPr>
        <w:ind w:left="5756" w:hanging="360"/>
      </w:pPr>
      <w:rPr/>
    </w:lvl>
    <w:lvl w:ilvl="7">
      <w:start w:val="1"/>
      <w:numFmt w:val="lowerLetter"/>
      <w:lvlText w:val="%8."/>
      <w:lvlJc w:val="left"/>
      <w:pPr>
        <w:ind w:left="6476" w:hanging="360"/>
      </w:pPr>
      <w:rPr/>
    </w:lvl>
    <w:lvl w:ilvl="8">
      <w:start w:val="1"/>
      <w:numFmt w:val="lowerRoman"/>
      <w:lvlText w:val="%9."/>
      <w:lvlJc w:val="right"/>
      <w:pPr>
        <w:ind w:left="7196" w:hanging="180"/>
      </w:pPr>
      <w:rPr/>
    </w:lvl>
  </w:abstractNum>
  <w:abstractNum w:abstractNumId="2">
    <w:lvl w:ilvl="0">
      <w:start w:val="19"/>
      <w:numFmt w:val="decimal"/>
      <w:lvlText w:val="%1."/>
      <w:lvlJc w:val="left"/>
      <w:pPr>
        <w:ind w:left="360" w:hanging="360"/>
      </w:pPr>
      <w:rPr/>
    </w:lvl>
    <w:lvl w:ilvl="1">
      <w:start w:val="1"/>
      <w:numFmt w:val="decimal"/>
      <w:lvlText w:val="%1.%2."/>
      <w:lvlJc w:val="left"/>
      <w:pPr>
        <w:ind w:left="792" w:hanging="432"/>
      </w:pPr>
      <w:rPr>
        <w:b w:val="0"/>
        <w:bCs w:val="0"/>
        <w:i w:val="0"/>
        <w:iCs w:val="0"/>
      </w:rPr>
    </w:lvl>
    <w:lvl w:ilvl="2">
      <w:start w:val="1"/>
      <w:numFmt w:val="lowerLetter"/>
      <w:lvlText w:val="%3)"/>
      <w:lvlJc w:val="left"/>
      <w:pPr>
        <w:ind w:left="1224" w:hanging="504"/>
      </w:pPr>
      <w:rPr>
        <w:b w:val="0"/>
        <w:bCs w:val="0"/>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360" w:hanging="360"/>
      </w:pPr>
      <w:rPr>
        <w:b w:val="1"/>
        <w:bCs w:val="1"/>
        <w:color w:val="000000"/>
      </w:rPr>
    </w:lvl>
    <w:lvl w:ilvl="1">
      <w:start w:val="1"/>
      <w:numFmt w:val="decimal"/>
      <w:lvlText w:val="%1.%2."/>
      <w:lvlJc w:val="left"/>
      <w:pPr>
        <w:ind w:left="999" w:hanging="432"/>
      </w:pPr>
      <w:rPr>
        <w:rFonts w:ascii="Calibri" w:cs="Calibri" w:eastAsia="Calibri" w:hAnsi="Calibri"/>
        <w:b w:val="0"/>
        <w:bCs w:val="0"/>
        <w:i w:val="0"/>
        <w:iCs w:val="0"/>
        <w:strike w:val="0"/>
        <w:color w:val="000000"/>
        <w:sz w:val="20"/>
        <w:szCs w:val="20"/>
        <w:u w:val="none"/>
      </w:rPr>
    </w:lvl>
    <w:lvl w:ilvl="2">
      <w:start w:val="1"/>
      <w:numFmt w:val="decimal"/>
      <w:lvlText w:val="%1.%2.%3."/>
      <w:lvlJc w:val="left"/>
      <w:pPr>
        <w:ind w:left="1496" w:hanging="504.0000000000001"/>
      </w:pPr>
      <w:rPr>
        <w:rFonts w:ascii="Arial" w:cs="Arial" w:eastAsia="Arial" w:hAnsi="Arial"/>
        <w:b w:val="0"/>
        <w:bCs w:val="0"/>
        <w:i w:val="0"/>
        <w:iCs w:val="0"/>
        <w:strike w:val="0"/>
        <w:color w:val="000000"/>
        <w:sz w:val="20"/>
        <w:szCs w:val="2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lowerRoman"/>
      <w:lvlText w:val="%1."/>
      <w:lvlJc w:val="right"/>
      <w:pPr>
        <w:ind w:left="1287" w:hanging="360.0000000000001"/>
      </w:pPr>
      <w:rPr/>
    </w:lvl>
    <w:lvl w:ilvl="1">
      <w:start w:val="1"/>
      <w:numFmt w:val="decimal"/>
      <w:lvlText w:val="%2."/>
      <w:lvlJc w:val="left"/>
      <w:pPr>
        <w:ind w:left="2007" w:hanging="360"/>
      </w:pPr>
      <w:rPr/>
    </w:lvl>
    <w:lvl w:ilvl="2">
      <w:start w:val="1"/>
      <w:numFmt w:val="lowerRoman"/>
      <w:lvlText w:val="%3."/>
      <w:lvlJc w:val="right"/>
      <w:pPr>
        <w:ind w:left="2727" w:hanging="180"/>
      </w:pPr>
      <w:rPr/>
    </w:lvl>
    <w:lvl w:ilvl="3">
      <w:start w:val="1"/>
      <w:numFmt w:val="decimal"/>
      <w:lvlText w:val="%4."/>
      <w:lvlJc w:val="left"/>
      <w:pPr>
        <w:ind w:left="3447" w:hanging="360"/>
      </w:pPr>
      <w:rPr/>
    </w:lvl>
    <w:lvl w:ilvl="4">
      <w:start w:val="1"/>
      <w:numFmt w:val="lowerLetter"/>
      <w:lvlText w:val="%5."/>
      <w:lvlJc w:val="left"/>
      <w:pPr>
        <w:ind w:left="4167" w:hanging="360"/>
      </w:pPr>
      <w:rPr/>
    </w:lvl>
    <w:lvl w:ilvl="5">
      <w:start w:val="1"/>
      <w:numFmt w:val="lowerRoman"/>
      <w:lvlText w:val="%6."/>
      <w:lvlJc w:val="right"/>
      <w:pPr>
        <w:ind w:left="4887" w:hanging="180"/>
      </w:pPr>
      <w:rPr/>
    </w:lvl>
    <w:lvl w:ilvl="6">
      <w:start w:val="1"/>
      <w:numFmt w:val="decimal"/>
      <w:lvlText w:val="%7."/>
      <w:lvlJc w:val="left"/>
      <w:pPr>
        <w:ind w:left="5607" w:hanging="360"/>
      </w:pPr>
      <w:rPr/>
    </w:lvl>
    <w:lvl w:ilvl="7">
      <w:start w:val="1"/>
      <w:numFmt w:val="lowerLetter"/>
      <w:lvlText w:val="%8."/>
      <w:lvlJc w:val="left"/>
      <w:pPr>
        <w:ind w:left="6327" w:hanging="360"/>
      </w:pPr>
      <w:rPr/>
    </w:lvl>
    <w:lvl w:ilvl="8">
      <w:start w:val="1"/>
      <w:numFmt w:val="lowerRoman"/>
      <w:lvlText w:val="%9."/>
      <w:lvlJc w:val="right"/>
      <w:pPr>
        <w:ind w:left="7047" w:hanging="180"/>
      </w:pPr>
      <w:rPr/>
    </w:lvl>
  </w:abstractNum>
  <w:abstractNum w:abstractNumId="5">
    <w:lvl w:ilvl="0">
      <w:start w:val="1"/>
      <w:numFmt w:val="decimal"/>
      <w:lvlText w:val="%1"/>
      <w:lvlJc w:val="left"/>
      <w:pPr>
        <w:ind w:left="1070" w:hanging="360"/>
      </w:pPr>
      <w:rPr>
        <w:color w:val="000000"/>
      </w:rPr>
    </w:lvl>
    <w:lvl w:ilvl="1">
      <w:start w:val="1"/>
      <w:numFmt w:val="decimal"/>
      <w:lvlText w:val="%1.%2"/>
      <w:lvlJc w:val="left"/>
      <w:pPr>
        <w:ind w:left="1070" w:hanging="360"/>
      </w:pPr>
      <w:rPr>
        <w:b w:val="0"/>
        <w:bCs w:val="0"/>
        <w:i w:val="0"/>
        <w:iCs w:val="0"/>
      </w:rPr>
    </w:lvl>
    <w:lvl w:ilvl="2">
      <w:start w:val="1"/>
      <w:numFmt w:val="decimal"/>
      <w:lvlText w:val="%1.%2.%3"/>
      <w:lvlJc w:val="left"/>
      <w:pPr>
        <w:ind w:left="1430" w:hanging="720"/>
      </w:pPr>
      <w:rPr>
        <w:b w:val="0"/>
        <w:bCs w:val="0"/>
      </w:rPr>
    </w:lvl>
    <w:lvl w:ilvl="3">
      <w:start w:val="1"/>
      <w:numFmt w:val="decimal"/>
      <w:lvlText w:val="%1.%2.%3.%4"/>
      <w:lvlJc w:val="left"/>
      <w:pPr>
        <w:ind w:left="1430" w:hanging="720"/>
      </w:pPr>
      <w:rPr/>
    </w:lvl>
    <w:lvl w:ilvl="4">
      <w:start w:val="1"/>
      <w:numFmt w:val="decimal"/>
      <w:lvlText w:val="%1.%2.%3.%4.%5"/>
      <w:lvlJc w:val="left"/>
      <w:pPr>
        <w:ind w:left="1790" w:hanging="1080"/>
      </w:pPr>
      <w:rPr/>
    </w:lvl>
    <w:lvl w:ilvl="5">
      <w:start w:val="1"/>
      <w:numFmt w:val="decimal"/>
      <w:lvlText w:val="%1.%2.%3.%4.%5.%6"/>
      <w:lvlJc w:val="left"/>
      <w:pPr>
        <w:ind w:left="1790" w:hanging="1080"/>
      </w:pPr>
      <w:rPr/>
    </w:lvl>
    <w:lvl w:ilvl="6">
      <w:start w:val="1"/>
      <w:numFmt w:val="decimal"/>
      <w:lvlText w:val="%1.%2.%3.%4.%5.%6.%7"/>
      <w:lvlJc w:val="left"/>
      <w:pPr>
        <w:ind w:left="2150" w:hanging="1440"/>
      </w:pPr>
      <w:rPr/>
    </w:lvl>
    <w:lvl w:ilvl="7">
      <w:start w:val="1"/>
      <w:numFmt w:val="decimal"/>
      <w:lvlText w:val="%1.%2.%3.%4.%5.%6.%7.%8"/>
      <w:lvlJc w:val="left"/>
      <w:pPr>
        <w:ind w:left="2150" w:hanging="1440"/>
      </w:pPr>
      <w:rPr/>
    </w:lvl>
    <w:lvl w:ilvl="8">
      <w:start w:val="1"/>
      <w:numFmt w:val="decimal"/>
      <w:lvlText w:val="%1.%2.%3.%4.%5.%6.%7.%8.%9"/>
      <w:lvlJc w:val="left"/>
      <w:pPr>
        <w:ind w:left="2150" w:hanging="1440"/>
      </w:pPr>
      <w:rPr/>
    </w:lvl>
  </w:abstractNum>
  <w:abstractNum w:abstractNumId="6">
    <w:lvl w:ilvl="0">
      <w:start w:val="10"/>
      <w:numFmt w:val="decimal"/>
      <w:lvlText w:val="%1"/>
      <w:lvlJc w:val="left"/>
      <w:pPr>
        <w:ind w:left="375" w:hanging="375"/>
      </w:pPr>
      <w:rPr/>
    </w:lvl>
    <w:lvl w:ilvl="1">
      <w:start w:val="1"/>
      <w:numFmt w:val="decimal"/>
      <w:lvlText w:val="%1.%2"/>
      <w:lvlJc w:val="left"/>
      <w:pPr>
        <w:ind w:left="375" w:hanging="375"/>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080" w:hanging="1080"/>
      </w:pPr>
      <w:rPr/>
    </w:lvl>
    <w:lvl w:ilvl="7">
      <w:start w:val="1"/>
      <w:numFmt w:val="decimal"/>
      <w:lvlText w:val="%1.%2.%3.%4.%5.%6.%7.%8"/>
      <w:lvlJc w:val="left"/>
      <w:pPr>
        <w:ind w:left="1440" w:hanging="1440"/>
      </w:pPr>
      <w:rPr/>
    </w:lvl>
    <w:lvl w:ilvl="8">
      <w:start w:val="1"/>
      <w:numFmt w:val="decimal"/>
      <w:lvlText w:val="%1.%2.%3.%4.%5.%6.%7.%8.%9"/>
      <w:lvlJc w:val="left"/>
      <w:pPr>
        <w:ind w:left="1440" w:hanging="1440"/>
      </w:pPr>
      <w:rPr/>
    </w:lvl>
  </w:abstractNum>
  <w:abstractNum w:abstractNumId="7">
    <w:lvl w:ilvl="0">
      <w:start w:val="12"/>
      <w:numFmt w:val="decimal"/>
      <w:lvlText w:val="%1"/>
      <w:lvlJc w:val="left"/>
      <w:pPr>
        <w:ind w:left="360" w:hanging="360"/>
      </w:pPr>
      <w:rPr>
        <w:color w:val="000000"/>
      </w:rPr>
    </w:lvl>
    <w:lvl w:ilvl="1">
      <w:start w:val="1"/>
      <w:numFmt w:val="decimal"/>
      <w:lvlText w:val="%1.%2"/>
      <w:lvlJc w:val="left"/>
      <w:pPr>
        <w:ind w:left="360" w:hanging="360"/>
      </w:pPr>
      <w:rPr>
        <w:rFonts w:ascii="Calibri" w:cs="Calibri" w:eastAsia="Calibri" w:hAnsi="Calibri"/>
        <w:i w:val="0"/>
        <w:iCs w:val="0"/>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720" w:hanging="720"/>
      </w:pPr>
      <w:rPr/>
    </w:lvl>
    <w:lvl w:ilvl="5">
      <w:start w:val="1"/>
      <w:numFmt w:val="decimal"/>
      <w:lvlText w:val="%1.%2.%3.%4.%5.%6"/>
      <w:lvlJc w:val="left"/>
      <w:pPr>
        <w:ind w:left="1080" w:hanging="1080"/>
      </w:pPr>
      <w:rPr/>
    </w:lvl>
    <w:lvl w:ilvl="6">
      <w:start w:val="1"/>
      <w:numFmt w:val="decimal"/>
      <w:lvlText w:val="%1.%2.%3.%4.%5.%6.%7"/>
      <w:lvlJc w:val="left"/>
      <w:pPr>
        <w:ind w:left="1080" w:hanging="1080"/>
      </w:pPr>
      <w:rPr/>
    </w:lvl>
    <w:lvl w:ilvl="7">
      <w:start w:val="1"/>
      <w:numFmt w:val="decimal"/>
      <w:lvlText w:val="%1.%2.%3.%4.%5.%6.%7.%8"/>
      <w:lvlJc w:val="left"/>
      <w:pPr>
        <w:ind w:left="1440" w:hanging="1440"/>
      </w:pPr>
      <w:rPr/>
    </w:lvl>
    <w:lvl w:ilvl="8">
      <w:start w:val="1"/>
      <w:numFmt w:val="decimal"/>
      <w:lvlText w:val="%1.%2.%3.%4.%5.%6.%7.%8.%9"/>
      <w:lvlJc w:val="left"/>
      <w:pPr>
        <w:ind w:left="1440" w:hanging="1440"/>
      </w:pPr>
      <w:rPr/>
    </w:lvl>
  </w:abstractNum>
  <w:abstractNum w:abstractNumId="8">
    <w:lvl w:ilvl="0">
      <w:start w:val="10"/>
      <w:numFmt w:val="decimal"/>
      <w:lvlText w:val="%1."/>
      <w:lvlJc w:val="left"/>
      <w:pPr>
        <w:ind w:left="360" w:hanging="360"/>
      </w:pPr>
      <w:rPr>
        <w:b w:val="1"/>
        <w:bCs w:val="1"/>
        <w:color w:val="000000"/>
      </w:rPr>
    </w:lvl>
    <w:lvl w:ilvl="1">
      <w:start w:val="1"/>
      <w:numFmt w:val="decimal"/>
      <w:lvlText w:val="%1.%2."/>
      <w:lvlJc w:val="left"/>
      <w:pPr>
        <w:ind w:left="999" w:hanging="432"/>
      </w:pPr>
      <w:rPr>
        <w:rFonts w:ascii="Calibri" w:cs="Calibri" w:eastAsia="Calibri" w:hAnsi="Calibri"/>
        <w:b w:val="0"/>
        <w:bCs w:val="0"/>
        <w:i w:val="0"/>
        <w:iCs w:val="0"/>
        <w:strike w:val="0"/>
        <w:color w:val="000000"/>
        <w:sz w:val="20"/>
        <w:szCs w:val="20"/>
        <w:u w:val="none"/>
      </w:rPr>
    </w:lvl>
    <w:lvl w:ilvl="2">
      <w:start w:val="1"/>
      <w:numFmt w:val="decimal"/>
      <w:lvlText w:val="%1.%2.%3."/>
      <w:lvlJc w:val="left"/>
      <w:pPr>
        <w:ind w:left="1496" w:hanging="504.0000000000001"/>
      </w:pPr>
      <w:rPr>
        <w:rFonts w:ascii="Arial" w:cs="Arial" w:eastAsia="Arial" w:hAnsi="Arial"/>
        <w:b w:val="0"/>
        <w:bCs w:val="0"/>
        <w:i w:val="0"/>
        <w:iCs w:val="0"/>
        <w:strike w:val="0"/>
        <w:color w:val="000000"/>
        <w:sz w:val="20"/>
        <w:szCs w:val="2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Ecofont_Spranq_eco_Sans" w:cs="Ecofont_Spranq_eco_Sans" w:eastAsia="Ecofont_Spranq_eco_Sans" w:hAnsi="Ecofont_Spranq_eco_Sans"/>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480" w:lineRule="auto"/>
    </w:pPr>
    <w:rPr>
      <w:rFonts w:ascii="Calibri" w:cs="Calibri" w:eastAsia="Calibri" w:hAnsi="Calibri"/>
      <w:b w:val="1"/>
      <w:bCs w:val="1"/>
      <w:color w:val="366091"/>
      <w:sz w:val="28"/>
      <w:szCs w:val="28"/>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bCs w:val="1"/>
      <w:color w:val="000000"/>
    </w:rPr>
  </w:style>
  <w:style w:type="paragraph" w:styleId="Heading3">
    <w:name w:val="heading 3"/>
    <w:basedOn w:val="Normal"/>
    <w:next w:val="Normal"/>
    <w:pPr>
      <w:keepNext w:val="1"/>
      <w:keepLines w:val="1"/>
      <w:spacing w:before="40" w:line="259" w:lineRule="auto"/>
    </w:pPr>
    <w:rPr>
      <w:rFonts w:ascii="Calibri" w:cs="Calibri" w:eastAsia="Calibri" w:hAnsi="Calibri"/>
      <w:color w:val="243f61"/>
    </w:rPr>
  </w:style>
  <w:style w:type="paragraph" w:styleId="Heading4">
    <w:name w:val="heading 4"/>
    <w:basedOn w:val="Normal"/>
    <w:next w:val="Normal"/>
    <w:pPr>
      <w:keepNext w:val="1"/>
      <w:keepLines w:val="1"/>
      <w:spacing w:before="40" w:lineRule="auto"/>
    </w:pPr>
    <w:rPr>
      <w:rFonts w:ascii="Calibri" w:cs="Calibri" w:eastAsia="Calibri" w:hAnsi="Calibri"/>
      <w:i w:val="1"/>
      <w:iCs w:val="1"/>
      <w:color w:val="36609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spacing w:before="40" w:line="259" w:lineRule="auto"/>
    </w:pPr>
    <w:rPr>
      <w:rFonts w:ascii="Calibri" w:cs="Calibri" w:eastAsia="Calibri" w:hAnsi="Calibri"/>
      <w:color w:val="243f61"/>
      <w:sz w:val="22"/>
      <w:szCs w:val="22"/>
    </w:rPr>
  </w:style>
  <w:style w:type="paragraph" w:styleId="Title">
    <w:name w:val="Title"/>
    <w:basedOn w:val="Normal"/>
    <w:next w:val="Normal"/>
    <w:pPr>
      <w:pBdr>
        <w:bottom w:color="4f81bd" w:space="4" w:sz="8" w:val="single"/>
      </w:pBdr>
      <w:spacing w:after="300" w:lineRule="auto"/>
    </w:pPr>
    <w:rPr>
      <w:rFonts w:ascii="Calibri" w:cs="Calibri" w:eastAsia="Calibri" w:hAnsi="Calibri"/>
      <w:color w:val="17365d"/>
      <w:sz w:val="52"/>
      <w:szCs w:val="5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www.planalto.gov.br/ccivil_03/_ato2019-2022/2021/lei/L14133.htm#art156%C2%A77" TargetMode="External"/><Relationship Id="rId22" Type="http://schemas.openxmlformats.org/officeDocument/2006/relationships/hyperlink" Target="http://www.planalto.gov.br/ccivil_03/_ato2019-2022/2021/lei/L14133.htm#art156%C2%A78" TargetMode="External"/><Relationship Id="rId21" Type="http://schemas.openxmlformats.org/officeDocument/2006/relationships/hyperlink" Target="http://www.planalto.gov.br/ccivil_03/_ato2019-2022/2021/lei/L14133.htm#art157" TargetMode="External"/><Relationship Id="rId24" Type="http://schemas.openxmlformats.org/officeDocument/2006/relationships/hyperlink" Target="http://www.planalto.gov.br/ccivil_03/_ato2019-2022/2021/lei/L14133.htm#art156%C2%A71" TargetMode="External"/><Relationship Id="rId23" Type="http://schemas.openxmlformats.org/officeDocument/2006/relationships/hyperlink" Target="http://www.planalto.gov.br/ccivil_03/_ato2019-2022/2021/lei/L14133.htm#art158"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planalto.gov.br/ccivil_03/leis/l8078compilado.htm" TargetMode="External"/><Relationship Id="rId26" Type="http://schemas.openxmlformats.org/officeDocument/2006/relationships/hyperlink" Target="https://www.planalto.gov.br/ccivil_03/_ato2011-2014/2013/lei/l12846.htm" TargetMode="External"/><Relationship Id="rId25"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art160" TargetMode="External"/><Relationship Id="rId27" Type="http://schemas.openxmlformats.org/officeDocument/2006/relationships/hyperlink" Target="http://www.planalto.gov.br/ccivil_03/_ato2019-2022/2021/lei/L14133.htm%25art159" TargetMode="External"/><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hyperlink" Target="http://www.planalto.gov.br/ccivil_03/_ato2019-2022/2021/lei/L14133.htm#art161" TargetMode="External"/><Relationship Id="rId7"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art106" TargetMode="External"/><Relationship Id="rId31" Type="http://schemas.openxmlformats.org/officeDocument/2006/relationships/hyperlink" Target="https://www.gov.br/compras/pt-br/acesso-a-informacao/legislacao/instrucoes-normativas/instrucao-normativa-seges-me-no-26-de-13-de-abril-de-2022" TargetMode="External"/><Relationship Id="rId30" Type="http://schemas.openxmlformats.org/officeDocument/2006/relationships/hyperlink" Target="http://www.planalto.gov.br/ccivil_03/_ato2019-2022/2021/lei/L14133.htm#163" TargetMode="External"/><Relationship Id="rId11" Type="http://schemas.openxmlformats.org/officeDocument/2006/relationships/hyperlink" Target="http://www.planalto.gov.br/ccivil_03/_ato2019-2022/2021/lei/L14133.htm#art116" TargetMode="External"/><Relationship Id="rId33" Type="http://schemas.openxmlformats.org/officeDocument/2006/relationships/hyperlink" Target="https://www.planalto.gov.br/ccivil_03/leis/l8078compilado.htm" TargetMode="External"/><Relationship Id="rId10" Type="http://schemas.openxmlformats.org/officeDocument/2006/relationships/hyperlink" Target="http://www.planalto.gov.br/ccivil_03/_ato2019-2022/2021/lei/L14133.htm#art137" TargetMode="External"/><Relationship Id="rId32"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art124" TargetMode="External"/><Relationship Id="rId35" Type="http://schemas.openxmlformats.org/officeDocument/2006/relationships/hyperlink" Target="https://www.planalto.gov.br/ccivil_03/_ato2011-2014/2011/lei/l12527.htm#art8%C2%A72" TargetMode="External"/><Relationship Id="rId12" Type="http://schemas.openxmlformats.org/officeDocument/2006/relationships/hyperlink" Target="http://www.planalto.gov.br/ccivil_03/_ato2019-2022/2021/lei/L14133.htm#art116" TargetMode="External"/><Relationship Id="rId34" Type="http://schemas.openxmlformats.org/officeDocument/2006/relationships/hyperlink" Target="http://www.planalto.gov.br/ccivil_03/_ato2019-2022/2021/lei/L14133.htm#art94" TargetMode="External"/><Relationship Id="rId15" Type="http://schemas.openxmlformats.org/officeDocument/2006/relationships/hyperlink" Target="https://www.planalto.gov.br/ccivil_03/_ato2011-2014/2013/lei/l12846.htm#art5" TargetMode="External"/><Relationship Id="rId37" Type="http://schemas.openxmlformats.org/officeDocument/2006/relationships/hyperlink" Target="http://www.planalto.gov.br/ccivil_03/_ato2019-2022/2021/lei/L14133.htm#art92%C2%A71" TargetMode="External"/><Relationship Id="rId14"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2/decreto/d7724.htm#art7%C2%A73" TargetMode="External"/><Relationship Id="rId17" Type="http://schemas.openxmlformats.org/officeDocument/2006/relationships/hyperlink" Target="http://www.planalto.gov.br/ccivil_03/_ato2019-2022/2021/lei/L14133.htm#art156%C2%A74" TargetMode="External"/><Relationship Id="rId39" Type="http://schemas.openxmlformats.org/officeDocument/2006/relationships/footer" Target="footer1.xml"/><Relationship Id="rId16" Type="http://schemas.openxmlformats.org/officeDocument/2006/relationships/hyperlink" Target="http://www.planalto.gov.br/ccivil_03/_ato2019-2022/2021/lei/L14133.htm#art156%C2%A72" TargetMode="External"/><Relationship Id="rId38" Type="http://schemas.openxmlformats.org/officeDocument/2006/relationships/header" Target="header1.xml"/><Relationship Id="rId19" Type="http://schemas.openxmlformats.org/officeDocument/2006/relationships/hyperlink" Target="http://www.planalto.gov.br/ccivil_03/_ato2019-2022/2021/lei/L14133.htm#art156%C2%A79" TargetMode="External"/><Relationship Id="rId18" Type="http://schemas.openxmlformats.org/officeDocument/2006/relationships/hyperlink" Target="http://www.planalto.gov.br/ccivil_03/_ato2019-2022/2021/lei/L14133.htm#art156%C2%A7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8b7NZmMs3mVyeu9frC4uuczyVg==">CgMxLjAyDmguZHJsbHlrMW40YXMyMg5oLmlzc3EwdDVueW5hcTIOaC5sa3RjM21mdGZuYnIyDmguYWpzaG9zYWxyMzdzOAByITFRRW9tbktMQnI1dFdEVnZGcjZQX3VpWTBjRDQ5MFh0eA==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MediaServiceImageTags">
    <vt:lpwstr>MediaServiceImageTags</vt:lpwstr>
  </property>
</Properties>
</file>